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海口市商业网点建设办公室</w:t>
      </w:r>
      <w:r>
        <w:rPr>
          <w:rFonts w:hint="eastAsia"/>
          <w:sz w:val="52"/>
          <w:szCs w:val="52"/>
          <w:lang w:val="en-US" w:eastAsia="zh-CN"/>
        </w:rPr>
        <w:t xml:space="preserve"> </w:t>
      </w: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w:t>
      </w:r>
      <w:r>
        <w:rPr>
          <w:rFonts w:hint="eastAsia" w:ascii="黑体" w:hAnsi="黑体" w:eastAsia="黑体"/>
          <w:sz w:val="32"/>
          <w:szCs w:val="32"/>
          <w:lang w:val="en-US" w:eastAsia="zh-CN"/>
        </w:rPr>
        <w:t xml:space="preserve">     </w:t>
      </w:r>
    </w:p>
    <w:p>
      <w:pPr>
        <w:pStyle w:val="6"/>
        <w:numPr>
          <w:ilvl w:val="0"/>
          <w:numId w:val="0"/>
        </w:numPr>
        <w:ind w:firstLine="1600" w:firstLineChars="500"/>
        <w:rPr>
          <w:rFonts w:ascii="黑体" w:hAnsi="黑体" w:eastAsia="黑体"/>
          <w:sz w:val="32"/>
          <w:szCs w:val="32"/>
        </w:rPr>
      </w:pPr>
      <w:r>
        <w:rPr>
          <w:rFonts w:hint="eastAsia" w:ascii="黑体" w:hAnsi="黑体" w:eastAsia="黑体"/>
          <w:sz w:val="32"/>
          <w:szCs w:val="32"/>
        </w:rPr>
        <w:t>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rPr>
        <w:t>概况</w:t>
      </w:r>
    </w:p>
    <w:p>
      <w:pPr>
        <w:pStyle w:val="6"/>
        <w:numPr>
          <w:ilvl w:val="0"/>
          <w:numId w:val="0"/>
        </w:numPr>
        <w:ind w:leftChars="0"/>
        <w:jc w:val="both"/>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（一）贯彻执行国家、省市场体系建设、管理的法律、法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规、政策。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（二）会同有关部门制定我市商业网点建设规划，组织指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导全市市场体系，规范城市商业基础设施建设。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（三）负责我市新建、改建、拆迁商业网点的动态管理。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（四）负责直销网点建设论证、预审工作。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（五）指导规范大、中型商品、农产品批发市场规划、建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设。</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（六）规范连锁经营、物流配送，规范物流体系建设。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（七）规划农村市场体系建设，培育农村商品市场。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（八）承担上级主管部门交办的其他工作</w:t>
      </w:r>
    </w:p>
    <w:p>
      <w:pPr>
        <w:adjustRightInd w:val="0"/>
        <w:snapToGrid w:val="0"/>
        <w:spacing w:line="560" w:lineRule="exact"/>
        <w:ind w:firstLine="640" w:firstLineChars="200"/>
        <w:jc w:val="both"/>
        <w:rPr>
          <w:rFonts w:hint="eastAsia" w:ascii="仿宋_GB2312" w:hAnsi="Times New Roman" w:eastAsia="仿宋_GB2312" w:cs="仿宋_GB2312"/>
          <w:color w:val="auto"/>
          <w:sz w:val="32"/>
          <w:szCs w:val="32"/>
          <w:lang w:val="en-US" w:eastAsia="zh-CN" w:bidi="ar-SA"/>
        </w:rPr>
      </w:pPr>
    </w:p>
    <w:p>
      <w:pPr>
        <w:pStyle w:val="6"/>
        <w:numPr>
          <w:ilvl w:val="0"/>
          <w:numId w:val="0"/>
        </w:numPr>
        <w:ind w:left="800" w:leftChars="0"/>
        <w:jc w:val="left"/>
        <w:rPr>
          <w:rFonts w:ascii="仿宋_GB2312" w:hAnsi="黑体"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firstLine="964" w:firstLineChars="3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w:t>
      </w:r>
      <w:r>
        <w:rPr>
          <w:rFonts w:hint="eastAsia" w:ascii="仿宋_GB2312" w:hAnsi="黑体" w:eastAsia="仿宋_GB2312"/>
          <w:sz w:val="32"/>
          <w:szCs w:val="32"/>
          <w:lang w:eastAsia="zh-CN"/>
        </w:rPr>
        <w:t>算</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133.85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w:t>
      </w:r>
      <w:r>
        <w:rPr>
          <w:rFonts w:hint="eastAsia" w:ascii="仿宋_GB2312" w:hAnsi="黑体" w:eastAsia="仿宋_GB2312"/>
          <w:sz w:val="32"/>
          <w:szCs w:val="32"/>
          <w:lang w:eastAsia="zh-CN"/>
        </w:rPr>
        <w:t>计</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93.72</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社会保障和就业支出18.4万元、卫生健康支出12.94万元、商业服务业等支出0万元、住房保障支出8.78万元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jc w:val="left"/>
        <w:rPr>
          <w:rFonts w:hint="eastAsia"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行政运行增加5.06万元，社会保障和就业支出增加3.04万元，住房保障支出增加2.49万元。</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93.72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70.02</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18.4</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13.75%</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12.94</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9.67%</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8.78</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6.56%</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87.72万元，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r>
        <w:rPr>
          <w:rFonts w:hint="eastAsia" w:ascii="仿宋_GB2312" w:hAnsi="黑体" w:eastAsia="仿宋_GB2312"/>
          <w:sz w:val="32"/>
          <w:szCs w:val="32"/>
          <w:lang w:val="en-US" w:eastAsia="zh-CN"/>
        </w:rPr>
        <w:t>6.95万元，公用经费减少1.89万元。</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2024年预算数为9.6万元，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2.36万元，</w:t>
      </w:r>
      <w:r>
        <w:rPr>
          <w:rFonts w:hint="eastAsia" w:ascii="仿宋_GB2312" w:hAnsi="黑体" w:eastAsia="仿宋_GB2312" w:cs="仿宋_GB2312"/>
          <w:sz w:val="32"/>
          <w:szCs w:val="32"/>
          <w:lang w:val="en-US" w:eastAsia="zh-CN"/>
        </w:rPr>
        <w:t>主要是社保基数较上年增加。</w:t>
      </w:r>
    </w:p>
    <w:p>
      <w:pPr>
        <w:numPr>
          <w:ilvl w:val="0"/>
          <w:numId w:val="0"/>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val="en-US" w:eastAsia="zh-CN"/>
        </w:rPr>
        <w:t>2024年预算数为4.8万元，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0.38万元，</w:t>
      </w:r>
      <w:r>
        <w:rPr>
          <w:rFonts w:hint="eastAsia" w:ascii="仿宋_GB2312" w:hAnsi="黑体" w:eastAsia="仿宋_GB2312" w:cs="仿宋_GB2312"/>
          <w:sz w:val="32"/>
          <w:szCs w:val="32"/>
          <w:lang w:val="en-US" w:eastAsia="zh-CN"/>
        </w:rPr>
        <w:t>主要是机关事业单位职业年金基数较上年增加。</w:t>
      </w:r>
    </w:p>
    <w:p>
      <w:pPr>
        <w:numPr>
          <w:ilvl w:val="0"/>
          <w:numId w:val="0"/>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2024年预算数为4万元，与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0.50万元，主要是</w:t>
      </w:r>
      <w:r>
        <w:rPr>
          <w:rFonts w:hint="eastAsia" w:ascii="仿宋_GB2312" w:hAnsi="黑体" w:eastAsia="仿宋_GB2312" w:cs="仿宋_GB2312"/>
          <w:sz w:val="32"/>
          <w:szCs w:val="32"/>
        </w:rPr>
        <w:t>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eastAsia="zh-CN"/>
        </w:rPr>
        <w:t>单列。</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2024年预算数为5.62万元，6.32万元，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0.7万元，主要是医疗保险少预留0.7万元</w:t>
      </w:r>
      <w:r>
        <w:rPr>
          <w:rFonts w:hint="eastAsia" w:ascii="仿宋_GB2312" w:hAnsi="黑体" w:eastAsia="仿宋_GB2312" w:cs="仿宋_GB2312"/>
          <w:color w:val="0000FF"/>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2024年预算数为7.32万元，5.24万元，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2.08万元，主要是部分在编人员调资增加公务员</w:t>
      </w:r>
      <w:r>
        <w:rPr>
          <w:rFonts w:hint="eastAsia" w:ascii="仿宋_GB2312" w:hAnsi="黑体" w:eastAsia="仿宋_GB2312" w:cs="仿宋_GB2312"/>
          <w:sz w:val="32"/>
          <w:szCs w:val="32"/>
        </w:rPr>
        <w:t>医疗补助</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2022年预算数为8.78万元，6.29万元，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2.49万元，主要是部分在编人员调资增加住房公积金</w:t>
      </w:r>
      <w:r>
        <w:rPr>
          <w:rFonts w:hint="eastAsia" w:ascii="仿宋_GB2312" w:hAnsi="黑体" w:eastAsia="仿宋_GB2312" w:cs="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w:t>
      </w:r>
      <w:r>
        <w:rPr>
          <w:rFonts w:hint="eastAsia" w:ascii="黑体" w:hAnsi="黑体" w:eastAsia="黑体"/>
          <w:sz w:val="32"/>
          <w:szCs w:val="32"/>
          <w:lang w:eastAsia="zh-CN"/>
        </w:rPr>
        <w:t>商业网点建设办公室</w:t>
      </w:r>
      <w:r>
        <w:rPr>
          <w:rFonts w:hint="eastAsia" w:ascii="黑体" w:hAnsi="黑体" w:eastAsia="黑体"/>
          <w:sz w:val="32"/>
          <w:szCs w:val="32"/>
          <w:lang w:val="en-US" w:eastAsia="zh-CN"/>
        </w:rPr>
        <w:t>单位2024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127.85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119.13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highlight w:val="none"/>
          <w:lang w:val="en-US" w:eastAsia="zh-CN"/>
        </w:rPr>
        <w:t>机关事业单位基本养老保险缴费、职工基本医疗保险缴费、公务员医疗补助缴费、其他社会保障缴费、住房公积金、医疗费、其他工资福利支出、</w:t>
      </w:r>
      <w:r>
        <w:rPr>
          <w:rFonts w:hint="eastAsia" w:ascii="仿宋_GB2312" w:hAnsi="黑体" w:eastAsia="仿宋_GB2312"/>
          <w:sz w:val="32"/>
          <w:szCs w:val="32"/>
          <w:lang w:eastAsia="zh-CN"/>
        </w:rPr>
        <w:t>邮</w:t>
      </w:r>
      <w:r>
        <w:rPr>
          <w:rFonts w:hint="eastAsia" w:ascii="仿宋_GB2312" w:hAnsi="黑体" w:eastAsia="仿宋_GB2312"/>
          <w:sz w:val="32"/>
          <w:szCs w:val="32"/>
        </w:rPr>
        <w:t>电费</w:t>
      </w:r>
      <w:r>
        <w:rPr>
          <w:rFonts w:hint="eastAsia" w:ascii="仿宋_GB2312" w:hAnsi="黑体" w:eastAsia="仿宋_GB2312"/>
          <w:sz w:val="32"/>
          <w:szCs w:val="32"/>
          <w:lang w:eastAsia="zh-CN"/>
        </w:rPr>
        <w:t>、其他交通费用、医疗补助、奖励金、其他对个人和家庭的补助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8.72</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eastAsia="zh-CN"/>
        </w:rPr>
        <w:t>水费、</w:t>
      </w:r>
      <w:r>
        <w:rPr>
          <w:rFonts w:hint="eastAsia" w:ascii="仿宋_GB2312" w:hAnsi="黑体" w:eastAsia="仿宋_GB2312"/>
          <w:sz w:val="30"/>
          <w:szCs w:val="30"/>
          <w:highlight w:val="none"/>
          <w:lang w:val="en-US" w:eastAsia="zh-CN"/>
        </w:rPr>
        <w:t>差旅费、维修（护）费、工会经费、其他商品和服务支出</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我局计划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0批0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rPr>
          <w:rFonts w:hint="eastAsia" w:ascii="Times New Roman" w:hAnsi="Times New Roman" w:eastAsia="仿宋_GB2312" w:cs="Times New Roman"/>
          <w:sz w:val="32"/>
          <w:shd w:val="clear" w:color="auto" w:fill="FFFFFF"/>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、文化体育与传媒支出、社会保障和就业支出、社会保险基金支出、卫生健康支出、商业服务业等支出、住房保障支出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val="en-US" w:eastAsia="zh-CN"/>
        </w:rPr>
        <w:t>单位2024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行政运行增加5.06万元，社会保障和就业支出增加3.04万元，住房保障支出增加2.49万元。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133.85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127.85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95.52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4.48</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10.92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行政运行增加5.06万元。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8.72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133.85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bookmarkStart w:id="0" w:name="_GoBack"/>
      <w:bookmarkEnd w:id="0"/>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5F937"/>
    <w:multiLevelType w:val="singleLevel"/>
    <w:tmpl w:val="B7E5F937"/>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217C3"/>
    <w:rsid w:val="0C8C0113"/>
    <w:rsid w:val="10FD0BE3"/>
    <w:rsid w:val="1A7217C3"/>
    <w:rsid w:val="27CD0ED1"/>
    <w:rsid w:val="34BE1B39"/>
    <w:rsid w:val="3D8A15EF"/>
    <w:rsid w:val="3F7C368F"/>
    <w:rsid w:val="49B10035"/>
    <w:rsid w:val="4C2F3AFB"/>
    <w:rsid w:val="4E4772DB"/>
    <w:rsid w:val="53492BBD"/>
    <w:rsid w:val="57800872"/>
    <w:rsid w:val="63820934"/>
    <w:rsid w:val="679C2A4D"/>
    <w:rsid w:val="6B1D1ED6"/>
    <w:rsid w:val="70BC1034"/>
    <w:rsid w:val="73C23B6B"/>
    <w:rsid w:val="740A67A5"/>
    <w:rsid w:val="76727219"/>
    <w:rsid w:val="7CFB39B2"/>
    <w:rsid w:val="7E610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2024-02-27T15:52:00Z</dcterms:created>
  <dc:creator>Administrator</dc:creator>
  <cp:lastModifiedBy>Administrator</cp:lastModifiedBy>
  <dcterms:modified xsi:type="dcterms:W3CDTF">2024-02-27T16:44:48Z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