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海口市现代服务业“十四五”发展规划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w:t>
      </w:r>
      <w:r>
        <w:rPr>
          <w:rFonts w:hint="eastAsia" w:ascii="仿宋_GB2312" w:hAnsi="楷体_GB2312" w:eastAsia="仿宋_GB2312" w:cs="楷体_GB2312"/>
          <w:b/>
          <w:sz w:val="32"/>
          <w:szCs w:val="32"/>
          <w:lang w:eastAsia="zh-CN"/>
        </w:rPr>
        <w:t>征求意见</w:t>
      </w:r>
      <w:r>
        <w:rPr>
          <w:rFonts w:hint="eastAsia" w:ascii="仿宋_GB2312" w:hAnsi="楷体_GB2312" w:eastAsia="仿宋_GB2312" w:cs="楷体_GB2312"/>
          <w:b/>
          <w:sz w:val="32"/>
          <w:szCs w:val="32"/>
        </w:rPr>
        <w:t>稿）</w:t>
      </w: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bookmarkStart w:id="32" w:name="_GoBack"/>
      <w:bookmarkEnd w:id="32"/>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2021年10月</w:t>
      </w:r>
    </w:p>
    <w:p>
      <w:pPr>
        <w:widowControl/>
        <w:jc w:val="left"/>
        <w:rPr>
          <w:rFonts w:ascii="宋体" w:hAnsi="宋体"/>
          <w:b/>
          <w:sz w:val="44"/>
          <w:szCs w:val="44"/>
        </w:rPr>
      </w:pPr>
      <w:r>
        <w:rPr>
          <w:rFonts w:ascii="宋体" w:hAnsi="宋体"/>
          <w:b/>
          <w:sz w:val="44"/>
          <w:szCs w:val="44"/>
        </w:rPr>
        <w:br w:type="page"/>
      </w:r>
      <w:r>
        <w:rPr>
          <w:rFonts w:ascii="宋体" w:hAnsi="宋体"/>
          <w:b/>
          <w:sz w:val="44"/>
          <w:szCs w:val="44"/>
        </w:rPr>
        <w:br w:type="page"/>
      </w:r>
    </w:p>
    <w:p>
      <w:pPr>
        <w:jc w:val="center"/>
        <w:rPr>
          <w:rFonts w:ascii="黑体" w:hAnsi="黑体" w:eastAsia="黑体"/>
          <w:b/>
          <w:sz w:val="32"/>
          <w:szCs w:val="32"/>
        </w:rPr>
      </w:pPr>
      <w:bookmarkStart w:id="0" w:name="_Toc70059479"/>
      <w:bookmarkStart w:id="1" w:name="_Toc65866198"/>
      <w:r>
        <w:rPr>
          <w:rFonts w:hint="eastAsia" w:ascii="黑体" w:hAnsi="黑体" w:eastAsia="黑体"/>
          <w:b/>
          <w:sz w:val="32"/>
          <w:szCs w:val="32"/>
        </w:rPr>
        <w:t>目 录</w:t>
      </w:r>
      <w:bookmarkEnd w:id="0"/>
      <w:bookmarkEnd w:id="1"/>
    </w:p>
    <w:sdt>
      <w:sdtPr>
        <w:rPr>
          <w:rFonts w:hint="eastAsia" w:ascii="仿宋_GB2312" w:hAnsi="Times New Roman" w:eastAsia="仿宋_GB2312" w:cs="Times New Roman"/>
          <w:b w:val="0"/>
          <w:bCs/>
          <w:sz w:val="32"/>
          <w:szCs w:val="32"/>
          <w:lang w:val="zh-CN"/>
        </w:rPr>
        <w:id w:val="-96339531"/>
        <w:docPartObj>
          <w:docPartGallery w:val="Table of Contents"/>
          <w:docPartUnique/>
        </w:docPartObj>
      </w:sdtPr>
      <w:sdtEndPr>
        <w:rPr>
          <w:rFonts w:hint="eastAsia" w:ascii="仿宋_GB2312" w:hAnsi="Times New Roman" w:eastAsia="仿宋_GB2312" w:cs="Times New Roman"/>
          <w:b w:val="0"/>
          <w:bCs/>
          <w:sz w:val="32"/>
          <w:szCs w:val="32"/>
          <w:lang w:val="zh-CN"/>
        </w:rPr>
      </w:sdtEndPr>
      <w:sdtContent>
        <w:p>
          <w:pPr>
            <w:pStyle w:val="4"/>
            <w:rPr>
              <w:rFonts w:ascii="仿宋_GB2312" w:eastAsia="仿宋_GB2312" w:hAnsiTheme="minorHAnsi" w:cstheme="minorBidi"/>
              <w:b w:val="0"/>
              <w:bCs/>
              <w:sz w:val="32"/>
              <w:szCs w:val="32"/>
            </w:rPr>
          </w:pPr>
          <w:r>
            <w:rPr>
              <w:rFonts w:hint="eastAsia" w:ascii="仿宋_GB2312" w:hAnsi="Times New Roman" w:eastAsia="仿宋_GB2312" w:cs="Times New Roman"/>
              <w:b w:val="0"/>
              <w:bCs/>
              <w:kern w:val="0"/>
              <w:sz w:val="32"/>
              <w:szCs w:val="32"/>
            </w:rPr>
            <w:fldChar w:fldCharType="begin"/>
          </w:r>
          <w:r>
            <w:rPr>
              <w:rFonts w:hint="eastAsia" w:ascii="仿宋_GB2312" w:hAnsi="Times New Roman" w:eastAsia="仿宋_GB2312" w:cs="Times New Roman"/>
              <w:b w:val="0"/>
              <w:bCs/>
              <w:sz w:val="32"/>
              <w:szCs w:val="32"/>
            </w:rPr>
            <w:instrText xml:space="preserve"> TOC \o "1-3" \h \z \u </w:instrText>
          </w:r>
          <w:r>
            <w:rPr>
              <w:rFonts w:hint="eastAsia" w:ascii="仿宋_GB2312" w:hAnsi="Times New Roman" w:eastAsia="仿宋_GB2312" w:cs="Times New Roman"/>
              <w:b w:val="0"/>
              <w:bCs/>
              <w:kern w:val="0"/>
              <w:sz w:val="32"/>
              <w:szCs w:val="32"/>
            </w:rPr>
            <w:fldChar w:fldCharType="separate"/>
          </w:r>
          <w:r>
            <w:fldChar w:fldCharType="begin"/>
          </w:r>
          <w:r>
            <w:instrText xml:space="preserve"> HYPERLINK \l "_Toc85804142" </w:instrText>
          </w:r>
          <w:r>
            <w:fldChar w:fldCharType="separate"/>
          </w:r>
          <w:r>
            <w:rPr>
              <w:rStyle w:val="7"/>
              <w:rFonts w:hint="eastAsia" w:ascii="仿宋_GB2312" w:eastAsia="仿宋_GB2312"/>
              <w:b w:val="0"/>
              <w:bCs/>
              <w:sz w:val="32"/>
              <w:szCs w:val="32"/>
            </w:rPr>
            <w:t>前 言</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"_Toc85804143" </w:instrText>
          </w:r>
          <w:r>
            <w:fldChar w:fldCharType="separate"/>
          </w:r>
          <w:r>
            <w:rPr>
              <w:rStyle w:val="7"/>
              <w:rFonts w:hint="eastAsia" w:ascii="仿宋_GB2312" w:eastAsia="仿宋_GB2312"/>
              <w:b w:val="0"/>
              <w:bCs/>
              <w:sz w:val="32"/>
              <w:szCs w:val="32"/>
            </w:rPr>
            <w:t>一、发展基础与环境</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_Toc85804143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13</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"_Toc85804144" </w:instrText>
          </w:r>
          <w:r>
            <w:fldChar w:fldCharType="separate"/>
          </w:r>
          <w:r>
            <w:rPr>
              <w:rStyle w:val="7"/>
              <w:rFonts w:hint="eastAsia" w:ascii="仿宋_GB2312" w:hAnsi="华文楷体" w:eastAsia="仿宋_GB2312" w:cs="楷体_GB2312"/>
              <w:bCs/>
              <w:sz w:val="32"/>
              <w:szCs w:val="32"/>
            </w:rPr>
            <w:t>（一）发展基础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_Toc85804144 \h </w:instrText>
          </w:r>
          <w:r>
            <w:rPr>
              <w:rFonts w:hint="eastAsia" w:ascii="仿宋_GB2312" w:eastAsia="仿宋_GB2312"/>
              <w:bCs/>
              <w:sz w:val="32"/>
              <w:szCs w:val="32"/>
            </w:rPr>
            <w:fldChar w:fldCharType="separate"/>
          </w:r>
          <w:r>
            <w:rPr>
              <w:rFonts w:hint="eastAsia" w:ascii="仿宋_GB2312" w:eastAsia="仿宋_GB2312"/>
              <w:bCs/>
              <w:sz w:val="32"/>
              <w:szCs w:val="32"/>
            </w:rPr>
            <w:t>13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"_Toc85804145" </w:instrText>
          </w:r>
          <w:r>
            <w:fldChar w:fldCharType="separate"/>
          </w:r>
          <w:r>
            <w:rPr>
              <w:rStyle w:val="7"/>
              <w:rFonts w:hint="eastAsia" w:ascii="仿宋_GB2312" w:hAnsi="华文楷体" w:eastAsia="仿宋_GB2312" w:cs="楷体_GB2312"/>
              <w:bCs/>
              <w:sz w:val="32"/>
              <w:szCs w:val="32"/>
            </w:rPr>
            <w:t>（二）存在问题</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_Toc85804145 \h </w:instrText>
          </w:r>
          <w:r>
            <w:rPr>
              <w:rFonts w:hint="eastAsia" w:ascii="仿宋_GB2312" w:eastAsia="仿宋_GB2312"/>
              <w:bCs/>
              <w:sz w:val="32"/>
              <w:szCs w:val="32"/>
            </w:rPr>
            <w:fldChar w:fldCharType="separate"/>
          </w:r>
          <w:r>
            <w:rPr>
              <w:rFonts w:hint="eastAsia" w:ascii="仿宋_GB2312" w:eastAsia="仿宋_GB2312"/>
              <w:bCs/>
              <w:sz w:val="32"/>
              <w:szCs w:val="32"/>
            </w:rPr>
            <w:t>14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"_Toc85804146" </w:instrText>
          </w:r>
          <w:r>
            <w:fldChar w:fldCharType="separate"/>
          </w:r>
          <w:r>
            <w:rPr>
              <w:rStyle w:val="7"/>
              <w:rFonts w:hint="eastAsia" w:ascii="仿宋_GB2312" w:hAnsi="华文楷体" w:eastAsia="仿宋_GB2312" w:cs="楷体_GB2312"/>
              <w:bCs/>
              <w:sz w:val="32"/>
              <w:szCs w:val="32"/>
            </w:rPr>
            <w:t>（三）面临形势</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_Toc85804146 \h </w:instrText>
          </w:r>
          <w:r>
            <w:rPr>
              <w:rFonts w:hint="eastAsia" w:ascii="仿宋_GB2312" w:eastAsia="仿宋_GB2312"/>
              <w:bCs/>
              <w:sz w:val="32"/>
              <w:szCs w:val="32"/>
            </w:rPr>
            <w:fldChar w:fldCharType="separate"/>
          </w:r>
          <w:r>
            <w:rPr>
              <w:rFonts w:hint="eastAsia" w:ascii="仿宋_GB2312" w:eastAsia="仿宋_GB2312"/>
              <w:bCs/>
              <w:sz w:val="32"/>
              <w:szCs w:val="32"/>
            </w:rPr>
            <w:t>16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"_Toc85804147" </w:instrText>
          </w:r>
          <w:r>
            <w:fldChar w:fldCharType="separate"/>
          </w:r>
          <w:r>
            <w:rPr>
              <w:rStyle w:val="7"/>
              <w:rFonts w:hint="eastAsia" w:ascii="仿宋_GB2312" w:eastAsia="仿宋_GB2312"/>
              <w:b w:val="0"/>
              <w:bCs/>
              <w:sz w:val="32"/>
              <w:szCs w:val="32"/>
            </w:rPr>
            <w:t>二、总体要求</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_Toc85804147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18</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"_Toc85804148" </w:instrText>
          </w:r>
          <w:r>
            <w:fldChar w:fldCharType="separate"/>
          </w:r>
          <w:r>
            <w:rPr>
              <w:rStyle w:val="7"/>
              <w:rFonts w:hint="eastAsia" w:ascii="仿宋_GB2312" w:hAnsi="华文楷体" w:eastAsia="仿宋_GB2312" w:cs="楷体_GB2312"/>
              <w:bCs/>
              <w:sz w:val="32"/>
              <w:szCs w:val="32"/>
            </w:rPr>
            <w:t>（一）指导思想</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_Toc85804148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"_Toc85804149" </w:instrText>
          </w:r>
          <w:r>
            <w:fldChar w:fldCharType="separate"/>
          </w:r>
          <w:r>
            <w:rPr>
              <w:rStyle w:val="7"/>
              <w:rFonts w:hint="eastAsia" w:ascii="仿宋_GB2312" w:hAnsi="华文楷体" w:eastAsia="仿宋_GB2312" w:cs="楷体_GB2312"/>
              <w:bCs/>
              <w:sz w:val="32"/>
              <w:szCs w:val="32"/>
            </w:rPr>
            <w:t>（二）基本原则</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_Toc85804149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"_Toc85804150" </w:instrText>
          </w:r>
          <w:r>
            <w:fldChar w:fldCharType="separate"/>
          </w:r>
          <w:r>
            <w:rPr>
              <w:rStyle w:val="7"/>
              <w:rFonts w:hint="eastAsia" w:ascii="仿宋_GB2312" w:hAnsi="华文楷体" w:eastAsia="仿宋_GB2312" w:cs="楷体_GB2312"/>
              <w:bCs/>
              <w:sz w:val="32"/>
              <w:szCs w:val="32"/>
            </w:rPr>
            <w:t>（三）发展目标</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_Toc85804150 \h </w:instrText>
          </w:r>
          <w:r>
            <w:rPr>
              <w:rFonts w:hint="eastAsia" w:ascii="仿宋_GB2312" w:eastAsia="仿宋_GB2312"/>
              <w:bCs/>
              <w:sz w:val="32"/>
              <w:szCs w:val="32"/>
            </w:rPr>
            <w:fldChar w:fldCharType="separate"/>
          </w:r>
          <w:r>
            <w:rPr>
              <w:rFonts w:hint="eastAsia" w:ascii="仿宋_GB2312" w:eastAsia="仿宋_GB2312"/>
              <w:bCs/>
              <w:sz w:val="32"/>
              <w:szCs w:val="32"/>
            </w:rPr>
            <w:t>20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"_Toc85804151" </w:instrText>
          </w:r>
          <w:r>
            <w:fldChar w:fldCharType="separate"/>
          </w:r>
          <w:r>
            <w:rPr>
              <w:rStyle w:val="7"/>
              <w:rFonts w:hint="eastAsia" w:ascii="仿宋_GB2312" w:hAnsi="华文楷体" w:eastAsia="仿宋_GB2312" w:cs="楷体_GB2312"/>
              <w:bCs/>
              <w:sz w:val="32"/>
              <w:szCs w:val="32"/>
            </w:rPr>
            <w:t>（四）空间布局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_Toc85804151 \h </w:instrText>
          </w:r>
          <w:r>
            <w:rPr>
              <w:rFonts w:hint="eastAsia" w:ascii="仿宋_GB2312" w:eastAsia="仿宋_GB2312"/>
              <w:bCs/>
              <w:sz w:val="32"/>
              <w:szCs w:val="32"/>
            </w:rPr>
            <w:fldChar w:fldCharType="separate"/>
          </w:r>
          <w:r>
            <w:rPr>
              <w:rFonts w:hint="eastAsia" w:ascii="仿宋_GB2312" w:eastAsia="仿宋_GB2312"/>
              <w:bCs/>
              <w:sz w:val="32"/>
              <w:szCs w:val="32"/>
            </w:rPr>
            <w:t>22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"_Toc85804152" </w:instrText>
          </w:r>
          <w:r>
            <w:fldChar w:fldCharType="separate"/>
          </w:r>
          <w:r>
            <w:rPr>
              <w:rStyle w:val="7"/>
              <w:rFonts w:hint="eastAsia" w:ascii="仿宋_GB2312" w:eastAsia="仿宋_GB2312"/>
              <w:b w:val="0"/>
              <w:bCs/>
              <w:sz w:val="32"/>
              <w:szCs w:val="32"/>
            </w:rPr>
            <w:t>三、发展思路与重点任务</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_Toc85804152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22</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"_Toc85804153" </w:instrText>
          </w:r>
          <w:r>
            <w:fldChar w:fldCharType="separate"/>
          </w:r>
          <w:r>
            <w:rPr>
              <w:rStyle w:val="7"/>
              <w:rFonts w:hint="eastAsia" w:ascii="仿宋_GB2312" w:hAnsi="华文楷体" w:eastAsia="仿宋_GB2312" w:cs="楷体_GB2312"/>
              <w:bCs/>
              <w:sz w:val="32"/>
              <w:szCs w:val="32"/>
            </w:rPr>
            <w:t>（一）加速要素流通，打造服务业品牌</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_Toc85804153 \h </w:instrText>
          </w:r>
          <w:r>
            <w:rPr>
              <w:rFonts w:hint="eastAsia" w:ascii="仿宋_GB2312" w:eastAsia="仿宋_GB2312"/>
              <w:bCs/>
              <w:sz w:val="32"/>
              <w:szCs w:val="32"/>
            </w:rPr>
            <w:fldChar w:fldCharType="separate"/>
          </w:r>
          <w:r>
            <w:rPr>
              <w:rFonts w:hint="eastAsia" w:ascii="仿宋_GB2312" w:eastAsia="仿宋_GB2312"/>
              <w:bCs/>
              <w:sz w:val="32"/>
              <w:szCs w:val="32"/>
            </w:rPr>
            <w:t>23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"_Toc85804154" </w:instrText>
          </w:r>
          <w:r>
            <w:fldChar w:fldCharType="separate"/>
          </w:r>
          <w:r>
            <w:rPr>
              <w:rStyle w:val="7"/>
              <w:rFonts w:hint="eastAsia" w:ascii="仿宋_GB2312" w:hAnsi="楷体_GB2312" w:eastAsia="仿宋_GB2312" w:cs="楷体_GB2312"/>
              <w:bCs/>
              <w:sz w:val="32"/>
              <w:szCs w:val="32"/>
            </w:rPr>
            <w:t>1. 现代金融业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_Toc85804154 \h </w:instrText>
          </w:r>
          <w:r>
            <w:rPr>
              <w:rFonts w:hint="eastAsia" w:ascii="仿宋_GB2312" w:eastAsia="仿宋_GB2312"/>
              <w:bCs/>
              <w:sz w:val="32"/>
              <w:szCs w:val="32"/>
            </w:rPr>
            <w:fldChar w:fldCharType="separate"/>
          </w:r>
          <w:r>
            <w:rPr>
              <w:rFonts w:hint="eastAsia" w:ascii="仿宋_GB2312" w:eastAsia="仿宋_GB2312"/>
              <w:bCs/>
              <w:sz w:val="32"/>
              <w:szCs w:val="32"/>
            </w:rPr>
            <w:t>24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"_Toc85804155" </w:instrText>
          </w:r>
          <w:r>
            <w:fldChar w:fldCharType="separate"/>
          </w:r>
          <w:r>
            <w:rPr>
              <w:rStyle w:val="7"/>
              <w:rFonts w:hint="eastAsia" w:ascii="仿宋_GB2312" w:hAnsi="楷体_GB2312" w:eastAsia="仿宋_GB2312" w:cs="楷体_GB2312"/>
              <w:bCs/>
              <w:sz w:val="32"/>
              <w:szCs w:val="32"/>
            </w:rPr>
            <w:t>2. 现代物流业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_Toc85804155 \h </w:instrText>
          </w:r>
          <w:r>
            <w:rPr>
              <w:rFonts w:hint="eastAsia" w:ascii="仿宋_GB2312" w:eastAsia="仿宋_GB2312"/>
              <w:bCs/>
              <w:sz w:val="32"/>
              <w:szCs w:val="32"/>
            </w:rPr>
            <w:fldChar w:fldCharType="separate"/>
          </w:r>
          <w:r>
            <w:rPr>
              <w:rFonts w:hint="eastAsia" w:ascii="仿宋_GB2312" w:eastAsia="仿宋_GB2312"/>
              <w:bCs/>
              <w:sz w:val="32"/>
              <w:szCs w:val="32"/>
            </w:rPr>
            <w:t>27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"_Toc85804156" </w:instrText>
          </w:r>
          <w:r>
            <w:fldChar w:fldCharType="separate"/>
          </w:r>
          <w:r>
            <w:rPr>
              <w:rStyle w:val="7"/>
              <w:rFonts w:hint="eastAsia" w:ascii="仿宋_GB2312" w:hAnsi="楷体_GB2312" w:eastAsia="仿宋_GB2312" w:cs="楷体_GB2312"/>
              <w:bCs/>
              <w:sz w:val="32"/>
              <w:szCs w:val="32"/>
            </w:rPr>
            <w:t>3. 现代会展业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_Toc85804156 \h </w:instrText>
          </w:r>
          <w:r>
            <w:rPr>
              <w:rFonts w:hint="eastAsia" w:ascii="仿宋_GB2312" w:eastAsia="仿宋_GB2312"/>
              <w:bCs/>
              <w:sz w:val="32"/>
              <w:szCs w:val="32"/>
            </w:rPr>
            <w:fldChar w:fldCharType="separate"/>
          </w:r>
          <w:r>
            <w:rPr>
              <w:rFonts w:hint="eastAsia" w:ascii="仿宋_GB2312" w:eastAsia="仿宋_GB2312"/>
              <w:bCs/>
              <w:sz w:val="32"/>
              <w:szCs w:val="32"/>
            </w:rPr>
            <w:t>31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"_Toc85804157" </w:instrText>
          </w:r>
          <w:r>
            <w:fldChar w:fldCharType="separate"/>
          </w:r>
          <w:r>
            <w:rPr>
              <w:rStyle w:val="7"/>
              <w:rFonts w:hint="eastAsia" w:ascii="仿宋_GB2312" w:hAnsi="华文楷体" w:eastAsia="仿宋_GB2312" w:cs="楷体_GB2312"/>
              <w:bCs/>
              <w:sz w:val="32"/>
              <w:szCs w:val="32"/>
            </w:rPr>
            <w:t>（二）促进科技创新，提高服务业质量</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_Toc85804157 \h </w:instrText>
          </w:r>
          <w:r>
            <w:rPr>
              <w:rFonts w:hint="eastAsia" w:ascii="仿宋_GB2312" w:eastAsia="仿宋_GB2312"/>
              <w:bCs/>
              <w:sz w:val="32"/>
              <w:szCs w:val="32"/>
            </w:rPr>
            <w:fldChar w:fldCharType="separate"/>
          </w:r>
          <w:r>
            <w:rPr>
              <w:rFonts w:hint="eastAsia" w:ascii="仿宋_GB2312" w:eastAsia="仿宋_GB2312"/>
              <w:bCs/>
              <w:sz w:val="32"/>
              <w:szCs w:val="32"/>
            </w:rPr>
            <w:t>34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"_Toc85804158" </w:instrText>
          </w:r>
          <w:r>
            <w:fldChar w:fldCharType="separate"/>
          </w:r>
          <w:r>
            <w:rPr>
              <w:rStyle w:val="7"/>
              <w:rFonts w:hint="eastAsia" w:ascii="仿宋_GB2312" w:hAnsi="楷体_GB2312" w:eastAsia="仿宋_GB2312" w:cs="楷体_GB2312"/>
              <w:bCs/>
              <w:sz w:val="32"/>
              <w:szCs w:val="32"/>
            </w:rPr>
            <w:t>1. 高端科技研发产业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_Toc85804158 \h </w:instrText>
          </w:r>
          <w:r>
            <w:rPr>
              <w:rFonts w:hint="eastAsia" w:ascii="仿宋_GB2312" w:eastAsia="仿宋_GB2312"/>
              <w:bCs/>
              <w:sz w:val="32"/>
              <w:szCs w:val="32"/>
            </w:rPr>
            <w:fldChar w:fldCharType="separate"/>
          </w:r>
          <w:r>
            <w:rPr>
              <w:rFonts w:hint="eastAsia" w:ascii="仿宋_GB2312" w:eastAsia="仿宋_GB2312"/>
              <w:bCs/>
              <w:sz w:val="32"/>
              <w:szCs w:val="32"/>
            </w:rPr>
            <w:t>35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"_Toc85804159" </w:instrText>
          </w:r>
          <w:r>
            <w:fldChar w:fldCharType="separate"/>
          </w:r>
          <w:r>
            <w:rPr>
              <w:rStyle w:val="7"/>
              <w:rFonts w:hint="eastAsia" w:ascii="仿宋_GB2312" w:hAnsi="楷体_GB2312" w:eastAsia="仿宋_GB2312" w:cs="楷体_GB2312"/>
              <w:bCs/>
              <w:sz w:val="32"/>
              <w:szCs w:val="32"/>
            </w:rPr>
            <w:t>2. 新一代软件与信息技术服务业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_Toc85804159 \h </w:instrText>
          </w:r>
          <w:r>
            <w:rPr>
              <w:rFonts w:hint="eastAsia" w:ascii="仿宋_GB2312" w:eastAsia="仿宋_GB2312"/>
              <w:bCs/>
              <w:sz w:val="32"/>
              <w:szCs w:val="32"/>
            </w:rPr>
            <w:fldChar w:fldCharType="separate"/>
          </w:r>
          <w:r>
            <w:rPr>
              <w:rFonts w:hint="eastAsia" w:ascii="仿宋_GB2312" w:eastAsia="仿宋_GB2312"/>
              <w:bCs/>
              <w:sz w:val="32"/>
              <w:szCs w:val="32"/>
            </w:rPr>
            <w:t>38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"_Toc85804160" </w:instrText>
          </w:r>
          <w:r>
            <w:fldChar w:fldCharType="separate"/>
          </w:r>
          <w:r>
            <w:rPr>
              <w:rStyle w:val="7"/>
              <w:rFonts w:hint="eastAsia" w:ascii="仿宋_GB2312" w:hAnsi="楷体_GB2312" w:eastAsia="仿宋_GB2312" w:cs="楷体_GB2312"/>
              <w:bCs/>
              <w:sz w:val="32"/>
              <w:szCs w:val="32"/>
            </w:rPr>
            <w:t>3. 医疗健康产业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_Toc85804160 \h </w:instrText>
          </w:r>
          <w:r>
            <w:rPr>
              <w:rFonts w:hint="eastAsia" w:ascii="仿宋_GB2312" w:eastAsia="仿宋_GB2312"/>
              <w:bCs/>
              <w:sz w:val="32"/>
              <w:szCs w:val="32"/>
            </w:rPr>
            <w:fldChar w:fldCharType="separate"/>
          </w:r>
          <w:r>
            <w:rPr>
              <w:rFonts w:hint="eastAsia" w:ascii="仿宋_GB2312" w:eastAsia="仿宋_GB2312"/>
              <w:bCs/>
              <w:sz w:val="32"/>
              <w:szCs w:val="32"/>
            </w:rPr>
            <w:t>41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"_Toc85804161" </w:instrText>
          </w:r>
          <w:r>
            <w:fldChar w:fldCharType="separate"/>
          </w:r>
          <w:r>
            <w:rPr>
              <w:rStyle w:val="7"/>
              <w:rFonts w:hint="eastAsia" w:ascii="仿宋_GB2312" w:hAnsi="华文楷体" w:eastAsia="仿宋_GB2312" w:cs="楷体_GB2312"/>
              <w:bCs/>
              <w:sz w:val="32"/>
              <w:szCs w:val="32"/>
            </w:rPr>
            <w:t>（三）打造人才高地，夯实服务业基础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_Toc85804161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"_Toc85804162" </w:instrText>
          </w:r>
          <w:r>
            <w:fldChar w:fldCharType="separate"/>
          </w:r>
          <w:r>
            <w:rPr>
              <w:rStyle w:val="7"/>
              <w:rFonts w:hint="eastAsia" w:ascii="仿宋_GB2312" w:hAnsi="楷体_GB2312" w:eastAsia="仿宋_GB2312" w:cs="楷体_GB2312"/>
              <w:bCs/>
              <w:sz w:val="32"/>
              <w:szCs w:val="32"/>
            </w:rPr>
            <w:t>1. 高端商务与专业服务业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_Toc85804162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"_Toc85804163" </w:instrText>
          </w:r>
          <w:r>
            <w:fldChar w:fldCharType="separate"/>
          </w:r>
          <w:r>
            <w:rPr>
              <w:rStyle w:val="7"/>
              <w:rFonts w:hint="eastAsia" w:ascii="仿宋_GB2312" w:hAnsi="楷体_GB2312" w:eastAsia="仿宋_GB2312" w:cs="楷体_GB2312"/>
              <w:bCs/>
              <w:sz w:val="32"/>
              <w:szCs w:val="32"/>
            </w:rPr>
            <w:t>2. 现代教育产业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_Toc85804163 \h </w:instrText>
          </w:r>
          <w:r>
            <w:rPr>
              <w:rFonts w:hint="eastAsia" w:ascii="仿宋_GB2312" w:eastAsia="仿宋_GB2312"/>
              <w:bCs/>
              <w:sz w:val="32"/>
              <w:szCs w:val="32"/>
            </w:rPr>
            <w:fldChar w:fldCharType="separate"/>
          </w:r>
          <w:r>
            <w:rPr>
              <w:rFonts w:hint="eastAsia" w:ascii="仿宋_GB2312" w:eastAsia="仿宋_GB2312"/>
              <w:bCs/>
              <w:sz w:val="32"/>
              <w:szCs w:val="32"/>
            </w:rPr>
            <w:t>48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"_Toc85804164" </w:instrText>
          </w:r>
          <w:r>
            <w:fldChar w:fldCharType="separate"/>
          </w:r>
          <w:r>
            <w:rPr>
              <w:rStyle w:val="7"/>
              <w:rFonts w:hint="eastAsia" w:ascii="仿宋_GB2312" w:eastAsia="仿宋_GB2312"/>
              <w:b w:val="0"/>
              <w:bCs/>
              <w:sz w:val="32"/>
              <w:szCs w:val="32"/>
            </w:rPr>
            <w:t>四、发展保障措施</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_Toc85804164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51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"_Toc85804165" </w:instrText>
          </w:r>
          <w:r>
            <w:fldChar w:fldCharType="separate"/>
          </w:r>
          <w:r>
            <w:rPr>
              <w:rStyle w:val="7"/>
              <w:rFonts w:hint="eastAsia" w:ascii="仿宋_GB2312" w:hAnsi="华文楷体" w:eastAsia="仿宋_GB2312" w:cs="楷体_GB2312"/>
              <w:bCs/>
              <w:sz w:val="32"/>
              <w:szCs w:val="32"/>
            </w:rPr>
            <w:t>（一）加强组织领导</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_Toc85804165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"_Toc85804166" </w:instrText>
          </w:r>
          <w:r>
            <w:fldChar w:fldCharType="separate"/>
          </w:r>
          <w:r>
            <w:rPr>
              <w:rStyle w:val="7"/>
              <w:rFonts w:hint="eastAsia" w:ascii="仿宋_GB2312" w:hAnsi="华文楷体" w:eastAsia="仿宋_GB2312" w:cs="楷体_GB2312"/>
              <w:bCs/>
              <w:sz w:val="32"/>
              <w:szCs w:val="32"/>
            </w:rPr>
            <w:t>（二）优化市场环境</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_Toc85804166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"_Toc85804167" </w:instrText>
          </w:r>
          <w:r>
            <w:fldChar w:fldCharType="separate"/>
          </w:r>
          <w:r>
            <w:rPr>
              <w:rStyle w:val="7"/>
              <w:rFonts w:hint="eastAsia" w:ascii="仿宋_GB2312" w:hAnsi="华文楷体" w:eastAsia="仿宋_GB2312" w:cs="楷体_GB2312"/>
              <w:bCs/>
              <w:sz w:val="32"/>
              <w:szCs w:val="32"/>
            </w:rPr>
            <w:t>（三）强化政策配套</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_Toc85804167 \h </w:instrText>
          </w:r>
          <w:r>
            <w:rPr>
              <w:rFonts w:hint="eastAsia" w:ascii="仿宋_GB2312" w:eastAsia="仿宋_GB2312"/>
              <w:bCs/>
              <w:sz w:val="32"/>
              <w:szCs w:val="32"/>
            </w:rPr>
            <w:fldChar w:fldCharType="separate"/>
          </w:r>
          <w:r>
            <w:rPr>
              <w:rFonts w:hint="eastAsia" w:ascii="仿宋_GB2312" w:eastAsia="仿宋_GB2312"/>
              <w:bCs/>
              <w:sz w:val="32"/>
              <w:szCs w:val="32"/>
            </w:rPr>
            <w:t>52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"_Toc85804168" </w:instrText>
          </w:r>
          <w:r>
            <w:fldChar w:fldCharType="separate"/>
          </w:r>
          <w:r>
            <w:rPr>
              <w:rStyle w:val="7"/>
              <w:rFonts w:hint="eastAsia" w:ascii="仿宋_GB2312" w:hAnsi="华文楷体" w:eastAsia="仿宋_GB2312" w:cs="楷体_GB2312"/>
              <w:bCs/>
              <w:sz w:val="32"/>
              <w:szCs w:val="32"/>
            </w:rPr>
            <w:t>（四）落实要素保障</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_Toc85804168 \h </w:instrText>
          </w:r>
          <w:r>
            <w:rPr>
              <w:rFonts w:hint="eastAsia" w:ascii="仿宋_GB2312" w:eastAsia="仿宋_GB2312"/>
              <w:bCs/>
              <w:sz w:val="32"/>
              <w:szCs w:val="32"/>
            </w:rPr>
            <w:fldChar w:fldCharType="separate"/>
          </w:r>
          <w:r>
            <w:rPr>
              <w:rFonts w:hint="eastAsia" w:ascii="仿宋_GB2312" w:eastAsia="仿宋_GB2312"/>
              <w:bCs/>
              <w:sz w:val="32"/>
              <w:szCs w:val="32"/>
            </w:rPr>
            <w:t>53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"_Toc85804169" </w:instrText>
          </w:r>
          <w:r>
            <w:fldChar w:fldCharType="separate"/>
          </w:r>
          <w:r>
            <w:rPr>
              <w:rStyle w:val="7"/>
              <w:rFonts w:hint="eastAsia" w:ascii="仿宋_GB2312" w:hAnsi="华文楷体" w:eastAsia="仿宋_GB2312" w:cs="楷体_GB2312"/>
              <w:bCs/>
              <w:sz w:val="32"/>
              <w:szCs w:val="32"/>
            </w:rPr>
            <w:t>（五）建设公共平台</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_Toc85804169 \h </w:instrText>
          </w:r>
          <w:r>
            <w:rPr>
              <w:rFonts w:hint="eastAsia" w:ascii="仿宋_GB2312" w:eastAsia="仿宋_GB2312"/>
              <w:bCs/>
              <w:sz w:val="32"/>
              <w:szCs w:val="32"/>
            </w:rPr>
            <w:fldChar w:fldCharType="separate"/>
          </w:r>
          <w:r>
            <w:rPr>
              <w:rFonts w:hint="eastAsia" w:ascii="仿宋_GB2312" w:eastAsia="仿宋_GB2312"/>
              <w:bCs/>
              <w:sz w:val="32"/>
              <w:szCs w:val="32"/>
            </w:rPr>
            <w:t>54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"_Toc85804170" </w:instrText>
          </w:r>
          <w:r>
            <w:fldChar w:fldCharType="separate"/>
          </w:r>
          <w:r>
            <w:rPr>
              <w:rStyle w:val="7"/>
              <w:rFonts w:hint="eastAsia" w:ascii="仿宋_GB2312" w:hAnsi="华文楷体" w:eastAsia="仿宋_GB2312" w:cs="楷体_GB2312"/>
              <w:bCs/>
              <w:sz w:val="32"/>
              <w:szCs w:val="32"/>
            </w:rPr>
            <w:t>（六）做实统计考核</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_Toc85804170 \h </w:instrText>
          </w:r>
          <w:r>
            <w:rPr>
              <w:rFonts w:hint="eastAsia" w:ascii="仿宋_GB2312" w:eastAsia="仿宋_GB2312"/>
              <w:bCs/>
              <w:sz w:val="32"/>
              <w:szCs w:val="32"/>
            </w:rPr>
            <w:fldChar w:fldCharType="separate"/>
          </w:r>
          <w:r>
            <w:rPr>
              <w:rFonts w:hint="eastAsia" w:ascii="仿宋_GB2312" w:eastAsia="仿宋_GB2312"/>
              <w:bCs/>
              <w:sz w:val="32"/>
              <w:szCs w:val="32"/>
            </w:rPr>
            <w:t>55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spacing w:after="120" w:line="440" w:lineRule="exact"/>
            <w:rPr>
              <w:sz w:val="32"/>
              <w:szCs w:val="32"/>
            </w:rPr>
          </w:pPr>
          <w:r>
            <w:rPr>
              <w:rFonts w:hint="eastAsia" w:ascii="仿宋_GB2312" w:eastAsia="仿宋_GB2312"/>
              <w:bCs/>
              <w:sz w:val="32"/>
              <w:szCs w:val="32"/>
              <w:lang w:val="zh-CN"/>
            </w:rPr>
            <w:fldChar w:fldCharType="end"/>
          </w:r>
        </w:p>
      </w:sdtContent>
    </w:sdt>
    <w:p>
      <w:pPr>
        <w:spacing w:line="600" w:lineRule="exact"/>
        <w:rPr>
          <w:rFonts w:ascii="黑体" w:hAnsi="黑体" w:eastAsia="黑体" w:cs="楷体_GB2312"/>
          <w:bCs/>
          <w:sz w:val="36"/>
          <w:szCs w:val="36"/>
        </w:rPr>
      </w:pPr>
    </w:p>
    <w:p>
      <w:pPr>
        <w:spacing w:line="600" w:lineRule="exact"/>
        <w:jc w:val="center"/>
        <w:outlineLvl w:val="0"/>
        <w:rPr>
          <w:rFonts w:ascii="黑体" w:hAnsi="黑体" w:eastAsia="黑体" w:cs="楷体_GB2312"/>
          <w:bCs/>
          <w:sz w:val="36"/>
          <w:szCs w:val="36"/>
        </w:rPr>
        <w:sectPr>
          <w:pgSz w:w="11906" w:h="16838"/>
          <w:pgMar w:top="1440" w:right="1800" w:bottom="1440" w:left="1800" w:header="851" w:footer="992" w:gutter="0"/>
          <w:pgNumType w:start="1"/>
          <w:cols w:space="425" w:num="1"/>
          <w:docGrid w:type="lines" w:linePitch="312" w:charSpace="0"/>
        </w:sectPr>
      </w:pPr>
    </w:p>
    <w:p>
      <w:pPr>
        <w:spacing w:line="600" w:lineRule="exact"/>
        <w:jc w:val="center"/>
        <w:outlineLvl w:val="0"/>
        <w:rPr>
          <w:rFonts w:ascii="黑体" w:hAnsi="黑体" w:eastAsia="黑体" w:cs="楷体_GB2312"/>
          <w:b/>
          <w:sz w:val="32"/>
          <w:szCs w:val="32"/>
        </w:rPr>
      </w:pPr>
      <w:bookmarkStart w:id="2" w:name="_Toc85804142"/>
      <w:r>
        <w:rPr>
          <w:rFonts w:hint="eastAsia" w:ascii="黑体" w:hAnsi="黑体" w:eastAsia="黑体" w:cs="楷体_GB2312"/>
          <w:b/>
          <w:sz w:val="32"/>
          <w:szCs w:val="32"/>
        </w:rPr>
        <w:t>前 言</w:t>
      </w:r>
      <w:bookmarkEnd w:id="2"/>
    </w:p>
    <w:p>
      <w:pPr>
        <w:spacing w:line="600" w:lineRule="exact"/>
        <w:ind w:firstLine="640" w:firstLineChars="200"/>
        <w:rPr>
          <w:rFonts w:ascii="仿宋" w:hAnsi="仿宋" w:eastAsia="仿宋_GB2312"/>
          <w:sz w:val="32"/>
          <w:szCs w:val="32"/>
        </w:rPr>
      </w:pPr>
      <w:r>
        <w:rPr>
          <w:rFonts w:hint="eastAsia" w:ascii="仿宋_GB2312" w:hAnsi="等线" w:eastAsia="仿宋_GB2312"/>
          <w:sz w:val="32"/>
          <w:szCs w:val="32"/>
        </w:rPr>
        <w:t>“十四五”时期</w:t>
      </w:r>
      <w:r>
        <w:rPr>
          <w:rFonts w:hint="eastAsia" w:ascii="仿宋_GB2312" w:hAnsi="宋体" w:eastAsia="仿宋_GB2312"/>
          <w:sz w:val="32"/>
          <w:szCs w:val="32"/>
        </w:rPr>
        <w:t>是我国在全面建成小康社会并实现第一个百年奋斗目标之后，开启全面建设社会主义现代化国家新征程、向第二个百年奋斗目标进军的第一个五年；也是海口市抢抓海南自由贸易港建设的重大历史机遇、将海南自由贸易</w:t>
      </w:r>
      <w:r>
        <w:rPr>
          <w:rFonts w:hint="eastAsia" w:ascii="仿宋" w:hAnsi="仿宋" w:eastAsia="仿宋_GB2312"/>
          <w:sz w:val="32"/>
          <w:szCs w:val="32"/>
        </w:rPr>
        <w:t>港打造成为引领我国新时代对外开放的鲜明旗帜和重要开放门户的关键时期。</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是以现代科学技术特别是网络信息技术为主要支撑，建立在新的商业模式、服务方式和管理方法基础上的服务产业。它既包括随着技术发展而产生的新兴服务业态，也包括运用现代技术对传统服务业的改造和提升。“十四五”期间，海口市现代服务业规划重点发展现代金融业、现代物流业、高端商务与专业服务业、现代会展业、新一代软件与信息技术服务业、高端科技研发产业、医疗健康产业、现代教育产业等八大核心产业。</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《中共中央关于制定国民经济和社会发展第十四个五年规划和二</w:t>
      </w:r>
      <w:r>
        <w:rPr>
          <w:rFonts w:hint="eastAsia" w:ascii="微软雅黑" w:hAnsi="微软雅黑" w:eastAsia="微软雅黑" w:cs="微软雅黑"/>
          <w:sz w:val="32"/>
          <w:szCs w:val="32"/>
        </w:rPr>
        <w:t>〇</w:t>
      </w:r>
      <w:r>
        <w:rPr>
          <w:rFonts w:hint="eastAsia" w:ascii="仿宋" w:hAnsi="仿宋" w:eastAsia="仿宋_GB2312" w:cs="仿宋_GB2312"/>
          <w:sz w:val="32"/>
          <w:szCs w:val="32"/>
        </w:rPr>
        <w:t>三五年远景目标的建议》中明确提出了“加快发展现代服务业，推动生产性服务业向专业化和价值链高端延伸，推动生活性服务业向高品质和多样化升级”的要求；《海南自由贸易港建设总体方案》（以下简称《总体方案》）指出“</w:t>
      </w:r>
      <w:r>
        <w:rPr>
          <w:rFonts w:hint="eastAsia" w:ascii="仿宋_GB2312" w:hAnsi="仿宋_GB2312" w:eastAsia="仿宋_GB2312" w:cs="仿宋_GB2312"/>
          <w:sz w:val="32"/>
          <w:szCs w:val="32"/>
        </w:rPr>
        <w:t>聚焦发展旅游业、现代服务业和高新技术产业，加快培育具有海南特色的合作竞争新优势</w:t>
      </w:r>
      <w:r>
        <w:rPr>
          <w:rFonts w:hint="eastAsia" w:ascii="仿宋"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 w:hAnsi="仿宋" w:eastAsia="仿宋_GB2312" w:cs="仿宋_GB2312"/>
          <w:sz w:val="32"/>
          <w:szCs w:val="32"/>
        </w:rPr>
        <w:t>为海口市现代服务业发展指明了方向</w:t>
      </w:r>
      <w:r>
        <w:rPr>
          <w:rFonts w:hint="eastAsia" w:ascii="仿宋" w:hAnsi="仿宋" w:eastAsia="仿宋_GB2312"/>
          <w:sz w:val="32"/>
          <w:szCs w:val="32"/>
        </w:rPr>
        <w:t>。</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加快发展现代服务业，提升现代服务业竞争力，已成为加强区域综合竞争力的制高点，亦是海口市优化经济增长结构的重要保障。依据《海南自由贸易港建设总体方案》《海南省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《海南省委省政府关于提振现代服务业创新发展的实施意见》《海口市国民经济和社会发展第十四个五年规划和二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等文件精神制定本规划。规划期限为2021年至2025年。</w:t>
      </w:r>
    </w:p>
    <w:p>
      <w:pPr>
        <w:widowControl/>
        <w:jc w:val="left"/>
        <w:rPr>
          <w:rFonts w:ascii="仿宋" w:hAnsi="仿宋" w:eastAsia="仿宋_GB2312"/>
          <w:sz w:val="32"/>
          <w:szCs w:val="32"/>
        </w:rPr>
      </w:pPr>
      <w:r>
        <w:rPr>
          <w:rFonts w:ascii="仿宋" w:hAnsi="仿宋" w:eastAsia="仿宋_GB2312"/>
          <w:sz w:val="32"/>
          <w:szCs w:val="32"/>
        </w:rPr>
        <w:br w:type="page"/>
      </w:r>
    </w:p>
    <w:p>
      <w:pPr>
        <w:spacing w:line="600" w:lineRule="exact"/>
        <w:jc w:val="center"/>
        <w:outlineLvl w:val="0"/>
        <w:rPr>
          <w:rFonts w:ascii="黑体" w:hAnsi="黑体" w:eastAsia="黑体" w:cs="楷体_GB2312"/>
          <w:b/>
          <w:sz w:val="32"/>
          <w:szCs w:val="32"/>
        </w:rPr>
      </w:pPr>
      <w:bookmarkStart w:id="3" w:name="_Toc85804143"/>
      <w:r>
        <w:rPr>
          <w:rFonts w:hint="eastAsia" w:ascii="黑体" w:hAnsi="黑体" w:eastAsia="黑体" w:cs="楷体_GB2312"/>
          <w:b/>
          <w:sz w:val="32"/>
          <w:szCs w:val="32"/>
        </w:rPr>
        <w:t>一、发展基础与环境</w:t>
      </w:r>
      <w:bookmarkEnd w:id="3"/>
    </w:p>
    <w:p>
      <w:pPr>
        <w:spacing w:line="600" w:lineRule="exact"/>
        <w:outlineLvl w:val="1"/>
        <w:rPr>
          <w:rFonts w:ascii="华文楷体" w:hAnsi="华文楷体" w:eastAsia="华文楷体" w:cs="楷体_GB2312"/>
          <w:b/>
          <w:sz w:val="32"/>
          <w:szCs w:val="32"/>
        </w:rPr>
      </w:pPr>
      <w:bookmarkStart w:id="4" w:name="_Toc85804144"/>
      <w:r>
        <w:rPr>
          <w:rFonts w:hint="eastAsia" w:ascii="华文楷体" w:hAnsi="华文楷体" w:eastAsia="华文楷体" w:cs="楷体_GB2312"/>
          <w:b/>
          <w:sz w:val="32"/>
          <w:szCs w:val="32"/>
        </w:rPr>
        <w:t>（一）发展基础</w:t>
      </w:r>
      <w:bookmarkEnd w:id="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以来，海口市高度重视现代服务业发展，重点优化现代服务业发展环境，积极推动服务业发展变革与价值提升，服务业规模不断壮大，产业结构持续优化，载体建设进展显著，发展环境逐步改善，服务业在经济社会发展中的地位和作用日益提升。海南自由贸易港建设的稳步推进同样为海口市现代服务业发展注入了新的动能，有力推动服务业向价值链高端延伸，为“十四五”时期现代服务业进一步加快发展打下了良好基础。</w:t>
      </w:r>
    </w:p>
    <w:p>
      <w:pPr>
        <w:pStyle w:val="10"/>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服务业总量不断增加，占海口市经济总量比重大</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“十三五”期间服务业增加值从2</w:t>
      </w:r>
      <w:r>
        <w:rPr>
          <w:rFonts w:ascii="仿宋_GB2312" w:hAnsi="楷体_GB2312" w:eastAsia="仿宋_GB2312" w:cs="楷体_GB2312"/>
          <w:bCs/>
          <w:sz w:val="32"/>
          <w:szCs w:val="32"/>
        </w:rPr>
        <w:t>015</w:t>
      </w:r>
      <w:r>
        <w:rPr>
          <w:rFonts w:hint="eastAsia" w:ascii="仿宋_GB2312" w:hAnsi="楷体_GB2312" w:eastAsia="仿宋_GB2312" w:cs="楷体_GB2312"/>
          <w:bCs/>
          <w:sz w:val="32"/>
          <w:szCs w:val="32"/>
        </w:rPr>
        <w:t>年的8</w:t>
      </w:r>
      <w:r>
        <w:rPr>
          <w:rFonts w:ascii="仿宋_GB2312" w:hAnsi="楷体_GB2312" w:eastAsia="仿宋_GB2312" w:cs="楷体_GB2312"/>
          <w:bCs/>
          <w:sz w:val="32"/>
          <w:szCs w:val="32"/>
        </w:rPr>
        <w:t>79.79</w:t>
      </w:r>
      <w:r>
        <w:rPr>
          <w:rFonts w:hint="eastAsia" w:ascii="仿宋_GB2312" w:hAnsi="楷体_GB2312" w:eastAsia="仿宋_GB2312" w:cs="楷体_GB2312"/>
          <w:bCs/>
          <w:sz w:val="32"/>
          <w:szCs w:val="32"/>
        </w:rPr>
        <w:t>亿元提升至2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年的1</w:t>
      </w:r>
      <w:r>
        <w:rPr>
          <w:rFonts w:ascii="仿宋_GB2312" w:hAnsi="楷体_GB2312" w:eastAsia="仿宋_GB2312" w:cs="楷体_GB2312"/>
          <w:bCs/>
          <w:sz w:val="32"/>
          <w:szCs w:val="32"/>
        </w:rPr>
        <w:t>442.14</w:t>
      </w:r>
      <w:r>
        <w:rPr>
          <w:rFonts w:hint="eastAsia" w:ascii="仿宋_GB2312" w:hAnsi="楷体_GB2312" w:eastAsia="仿宋_GB2312" w:cs="楷体_GB2312"/>
          <w:bCs/>
          <w:sz w:val="32"/>
          <w:szCs w:val="32"/>
        </w:rPr>
        <w:t>亿元，年均增速为</w:t>
      </w:r>
      <w:r>
        <w:rPr>
          <w:rFonts w:ascii="仿宋_GB2312" w:hAnsi="楷体_GB2312" w:eastAsia="仿宋_GB2312" w:cs="楷体_GB2312"/>
          <w:bCs/>
          <w:sz w:val="32"/>
          <w:szCs w:val="32"/>
        </w:rPr>
        <w:t>10</w:t>
      </w:r>
      <w:r>
        <w:rPr>
          <w:rFonts w:hint="eastAsia" w:ascii="仿宋_GB2312" w:hAnsi="楷体_GB2312" w:eastAsia="仿宋_GB2312" w:cs="楷体_GB2312"/>
          <w:bCs/>
          <w:sz w:val="32"/>
          <w:szCs w:val="32"/>
        </w:rPr>
        <w:t>%。同时，服务业增加值已达到生产总值的</w:t>
      </w:r>
      <w:r>
        <w:rPr>
          <w:rFonts w:ascii="仿宋_GB2312" w:hAnsi="楷体_GB2312" w:eastAsia="仿宋_GB2312" w:cs="楷体_GB2312"/>
          <w:bCs/>
          <w:sz w:val="32"/>
          <w:szCs w:val="32"/>
        </w:rPr>
        <w:t>4/5</w:t>
      </w:r>
      <w:r>
        <w:rPr>
          <w:rFonts w:hint="eastAsia" w:ascii="仿宋_GB2312" w:hAnsi="楷体_GB2312" w:eastAsia="仿宋_GB2312" w:cs="楷体_GB2312"/>
          <w:bCs/>
          <w:sz w:val="32"/>
          <w:szCs w:val="32"/>
        </w:rPr>
        <w:t>，服务业对于海口市经济发展起到主要支撑作用，为“十四五”时期现代服务业的发展打下了坚实的基础。</w:t>
      </w:r>
    </w:p>
    <w:p>
      <w:pPr>
        <w:pStyle w:val="10"/>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服务业已经成为吸纳海口市人员就业的主要渠道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“十三五”期间海口市服务业从业人数保持年均3%左右的增长速度；服务业占全社会从业人员比重接近7成，并在“十三五”期间占比不断提高。人均服务业增加值保持1</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%的增速，至2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年底为6</w:t>
      </w:r>
      <w:r>
        <w:rPr>
          <w:rFonts w:ascii="仿宋_GB2312" w:hAnsi="楷体_GB2312" w:eastAsia="仿宋_GB2312" w:cs="楷体_GB2312"/>
          <w:bCs/>
          <w:sz w:val="32"/>
          <w:szCs w:val="32"/>
        </w:rPr>
        <w:t>.24</w:t>
      </w:r>
      <w:r>
        <w:rPr>
          <w:rFonts w:hint="eastAsia" w:ascii="仿宋_GB2312" w:hAnsi="楷体_GB2312" w:eastAsia="仿宋_GB2312" w:cs="楷体_GB2312"/>
          <w:bCs/>
          <w:sz w:val="32"/>
          <w:szCs w:val="32"/>
        </w:rPr>
        <w:t>万元。服务业对于吸纳人员就业，保障海口市经济平稳向好发展起到了重要的作用。</w:t>
      </w:r>
    </w:p>
    <w:tbl>
      <w:tblPr>
        <w:tblStyle w:val="9"/>
        <w:tblpPr w:leftFromText="180" w:rightFromText="180" w:vertAnchor="page" w:horzAnchor="margin" w:tblpY="15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1361"/>
        <w:gridCol w:w="15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784" w:type="dxa"/>
            <w:gridSpan w:val="4"/>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 </w:t>
            </w:r>
            <w:r>
              <w:rPr>
                <w:rFonts w:hint="eastAsia" w:ascii="仿宋_GB2312" w:hAnsi="仿宋" w:eastAsia="仿宋_GB2312" w:cs="仿宋"/>
                <w:b/>
                <w:bCs/>
                <w:kern w:val="0"/>
                <w:sz w:val="28"/>
                <w:szCs w:val="28"/>
                <w:shd w:val="clear" w:color="080000" w:fill="FFFFFF"/>
              </w:rPr>
              <w:t>“十三五”时期海口市服务业运行情况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4195"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指标</w:t>
            </w:r>
          </w:p>
        </w:tc>
        <w:tc>
          <w:tcPr>
            <w:tcW w:w="136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2015年</w:t>
            </w:r>
          </w:p>
        </w:tc>
        <w:tc>
          <w:tcPr>
            <w:tcW w:w="1527" w:type="dxa"/>
            <w:vAlign w:val="center"/>
          </w:tcPr>
          <w:p>
            <w:pPr>
              <w:spacing w:line="240" w:lineRule="exact"/>
              <w:jc w:val="center"/>
              <w:rPr>
                <w:rFonts w:ascii="仿宋_GB2312" w:hAnsi="仿宋" w:eastAsia="仿宋_GB2312" w:cs="仿宋"/>
                <w:b/>
                <w:kern w:val="0"/>
                <w:sz w:val="24"/>
                <w:shd w:val="clear" w:color="080000" w:fill="FFFFFF"/>
              </w:rPr>
            </w:pPr>
            <w:r>
              <w:rPr>
                <w:rFonts w:ascii="仿宋_GB2312" w:hAnsi="仿宋" w:eastAsia="仿宋_GB2312" w:cs="仿宋"/>
                <w:b/>
                <w:kern w:val="0"/>
                <w:sz w:val="24"/>
                <w:shd w:val="clear" w:color="080000" w:fill="FFFFFF"/>
              </w:rPr>
              <w:t>2020</w:t>
            </w:r>
            <w:r>
              <w:rPr>
                <w:rFonts w:hint="eastAsia" w:ascii="仿宋_GB2312" w:hAnsi="仿宋" w:eastAsia="仿宋_GB2312" w:cs="仿宋"/>
                <w:b/>
                <w:kern w:val="0"/>
                <w:sz w:val="24"/>
                <w:shd w:val="clear" w:color="080000" w:fill="FFFFFF"/>
              </w:rPr>
              <w:t>年</w:t>
            </w:r>
          </w:p>
        </w:tc>
        <w:tc>
          <w:tcPr>
            <w:tcW w:w="170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服务业增加值（亿元）</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871.87</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1442.14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人均服务业增加值（万元/人）</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3.96</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6.24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服务业增加值占生产总值比重（%）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76.3</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80.5</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服务业占全社会固定资产投资比重（%）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9</w:t>
            </w:r>
            <w:r>
              <w:rPr>
                <w:rFonts w:ascii="仿宋_GB2312" w:hAnsi="仿宋" w:eastAsia="仿宋_GB2312" w:cs="仿宋"/>
                <w:bCs/>
                <w:kern w:val="0"/>
                <w:sz w:val="24"/>
                <w:shd w:val="clear" w:color="080000" w:fill="FFFFFF"/>
              </w:rPr>
              <w:t>5.48</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85.2</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w:t>
            </w:r>
          </w:p>
        </w:tc>
      </w:tr>
    </w:tbl>
    <w:p>
      <w:pPr>
        <w:pStyle w:val="10"/>
        <w:numPr>
          <w:ilvl w:val="0"/>
          <w:numId w:val="1"/>
        </w:numPr>
        <w:spacing w:line="600" w:lineRule="exact"/>
        <w:ind w:firstLineChars="0"/>
        <w:rPr>
          <w:rFonts w:ascii="仿宋_GB2312" w:hAnsi="楷体_GB2312" w:eastAsia="仿宋_GB2312" w:cs="楷体_GB2312"/>
          <w:b/>
          <w:sz w:val="32"/>
          <w:szCs w:val="32"/>
        </w:rPr>
      </w:pPr>
      <w:r>
        <w:rPr>
          <w:rFonts w:ascii="仿宋_GB2312" w:hAnsi="楷体_GB2312" w:eastAsia="仿宋_GB2312" w:cs="楷体_GB2312"/>
          <w:b/>
          <w:sz w:val="32"/>
          <w:szCs w:val="32"/>
        </w:rPr>
        <w:t>现代服务业</w:t>
      </w:r>
      <w:r>
        <w:rPr>
          <w:rFonts w:hint="eastAsia" w:ascii="仿宋_GB2312" w:hAnsi="楷体_GB2312" w:eastAsia="仿宋_GB2312" w:cs="楷体_GB2312"/>
          <w:b/>
          <w:sz w:val="32"/>
          <w:szCs w:val="32"/>
        </w:rPr>
        <w:t>发展势头良好，营业收入增速稳定</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截至2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年底，海口市现代服务业实现增加值9</w:t>
      </w:r>
      <w:r>
        <w:rPr>
          <w:rFonts w:ascii="仿宋_GB2312" w:hAnsi="楷体_GB2312" w:eastAsia="仿宋_GB2312" w:cs="楷体_GB2312"/>
          <w:bCs/>
          <w:sz w:val="32"/>
          <w:szCs w:val="32"/>
        </w:rPr>
        <w:t>03</w:t>
      </w:r>
      <w:r>
        <w:rPr>
          <w:rFonts w:hint="eastAsia" w:ascii="仿宋_GB2312" w:hAnsi="楷体_GB2312" w:eastAsia="仿宋_GB2312" w:cs="楷体_GB2312"/>
          <w:bCs/>
          <w:sz w:val="32"/>
          <w:szCs w:val="32"/>
        </w:rPr>
        <w:t>亿元，同比增长2</w:t>
      </w:r>
      <w:r>
        <w:rPr>
          <w:rFonts w:ascii="仿宋_GB2312" w:hAnsi="楷体_GB2312" w:eastAsia="仿宋_GB2312" w:cs="楷体_GB2312"/>
          <w:bCs/>
          <w:sz w:val="32"/>
          <w:szCs w:val="32"/>
        </w:rPr>
        <w:t>0.7</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的5</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%以上。全市规模以上现代服务业营业收入总计1135.48亿元，在疫情冲击下保持</w:t>
      </w:r>
      <w:r>
        <w:rPr>
          <w:rFonts w:ascii="仿宋_GB2312" w:hAnsi="楷体_GB2312" w:eastAsia="仿宋_GB2312" w:cs="楷体_GB2312"/>
          <w:bCs/>
          <w:sz w:val="32"/>
          <w:szCs w:val="32"/>
        </w:rPr>
        <w:t>9.3</w:t>
      </w:r>
      <w:r>
        <w:rPr>
          <w:rFonts w:hint="eastAsia" w:ascii="仿宋_GB2312" w:hAnsi="楷体_GB2312" w:eastAsia="仿宋_GB2312" w:cs="楷体_GB2312"/>
          <w:bCs/>
          <w:sz w:val="32"/>
          <w:szCs w:val="32"/>
        </w:rPr>
        <w:t>%的增速。其中现代商务服务业、现代交通运输/仓储和邮政业、信息传输/软件和信息技术服务业分别以5</w:t>
      </w:r>
      <w:r>
        <w:rPr>
          <w:rFonts w:ascii="仿宋_GB2312" w:hAnsi="楷体_GB2312" w:eastAsia="仿宋_GB2312" w:cs="楷体_GB2312"/>
          <w:bCs/>
          <w:sz w:val="32"/>
          <w:szCs w:val="32"/>
        </w:rPr>
        <w:t>03.15</w:t>
      </w:r>
      <w:r>
        <w:rPr>
          <w:rFonts w:hint="eastAsia" w:ascii="仿宋_GB2312" w:hAnsi="楷体_GB2312" w:eastAsia="仿宋_GB2312" w:cs="楷体_GB2312"/>
          <w:bCs/>
          <w:sz w:val="32"/>
          <w:szCs w:val="32"/>
        </w:rPr>
        <w:t>亿元、3</w:t>
      </w:r>
      <w:r>
        <w:rPr>
          <w:rFonts w:ascii="仿宋_GB2312" w:hAnsi="楷体_GB2312" w:eastAsia="仿宋_GB2312" w:cs="楷体_GB2312"/>
          <w:bCs/>
          <w:sz w:val="32"/>
          <w:szCs w:val="32"/>
        </w:rPr>
        <w:t>19.34</w:t>
      </w:r>
      <w:r>
        <w:rPr>
          <w:rFonts w:hint="eastAsia" w:ascii="仿宋_GB2312" w:hAnsi="楷体_GB2312" w:eastAsia="仿宋_GB2312" w:cs="楷体_GB2312"/>
          <w:bCs/>
          <w:sz w:val="32"/>
          <w:szCs w:val="32"/>
        </w:rPr>
        <w:t>亿元和1</w:t>
      </w:r>
      <w:r>
        <w:rPr>
          <w:rFonts w:ascii="仿宋_GB2312" w:hAnsi="楷体_GB2312" w:eastAsia="仿宋_GB2312" w:cs="楷体_GB2312"/>
          <w:bCs/>
          <w:sz w:val="32"/>
          <w:szCs w:val="32"/>
        </w:rPr>
        <w:t>78.45</w:t>
      </w:r>
      <w:r>
        <w:rPr>
          <w:rFonts w:hint="eastAsia" w:ascii="仿宋_GB2312" w:hAnsi="楷体_GB2312" w:eastAsia="仿宋_GB2312" w:cs="楷体_GB2312"/>
          <w:bCs/>
          <w:sz w:val="32"/>
          <w:szCs w:val="32"/>
        </w:rPr>
        <w:t>亿元的营业收入占比前三。</w:t>
      </w:r>
    </w:p>
    <w:p>
      <w:pPr>
        <w:spacing w:line="600" w:lineRule="exact"/>
        <w:outlineLvl w:val="1"/>
        <w:rPr>
          <w:rFonts w:ascii="华文楷体" w:hAnsi="华文楷体" w:eastAsia="华文楷体" w:cs="楷体_GB2312"/>
          <w:b/>
          <w:sz w:val="32"/>
          <w:szCs w:val="32"/>
        </w:rPr>
      </w:pPr>
      <w:bookmarkStart w:id="5" w:name="_Toc85804145"/>
      <w:r>
        <w:rPr>
          <w:rFonts w:hint="eastAsia" w:ascii="华文楷体" w:hAnsi="华文楷体" w:eastAsia="华文楷体" w:cs="楷体_GB2312"/>
          <w:b/>
          <w:sz w:val="32"/>
          <w:szCs w:val="32"/>
        </w:rPr>
        <w:t>（二）存在问题</w:t>
      </w:r>
      <w:bookmarkEnd w:id="5"/>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w:t>
      </w:r>
      <w:r>
        <w:rPr>
          <w:rFonts w:hint="eastAsia" w:ascii="仿宋_GB2312" w:hAnsi="楷体_GB2312" w:eastAsia="仿宋_GB2312" w:cs="楷体_GB2312"/>
          <w:b/>
          <w:sz w:val="32"/>
          <w:szCs w:val="32"/>
        </w:rPr>
        <w:t>发展基础较为薄弱</w:t>
      </w:r>
    </w:p>
    <w:p>
      <w:pPr>
        <w:spacing w:line="600" w:lineRule="exact"/>
        <w:ind w:firstLine="640" w:firstLineChars="200"/>
        <w:rPr>
          <w:rFonts w:ascii="仿宋_GB2312" w:eastAsia="仿宋_GB2312"/>
          <w:sz w:val="32"/>
          <w:szCs w:val="32"/>
        </w:rPr>
      </w:pPr>
      <w:r>
        <w:rPr>
          <w:rFonts w:ascii="仿宋_GB2312" w:eastAsia="仿宋_GB2312"/>
          <w:sz w:val="32"/>
          <w:szCs w:val="32"/>
        </w:rPr>
        <w:t>2020年，海口服务业规模在全国36个省会城市和计划单列市中排第33位。</w:t>
      </w:r>
      <w:r>
        <w:rPr>
          <w:rFonts w:hint="eastAsia" w:ascii="仿宋_GB2312" w:eastAsia="仿宋_GB2312"/>
          <w:sz w:val="32"/>
          <w:szCs w:val="32"/>
        </w:rPr>
        <w:t>从全年营业收入分布情况看，2</w:t>
      </w:r>
      <w:r>
        <w:rPr>
          <w:rFonts w:ascii="仿宋_GB2312" w:eastAsia="仿宋_GB2312"/>
          <w:sz w:val="32"/>
          <w:szCs w:val="32"/>
        </w:rPr>
        <w:t>020</w:t>
      </w:r>
      <w:r>
        <w:rPr>
          <w:rFonts w:hint="eastAsia" w:ascii="仿宋_GB2312" w:eastAsia="仿宋_GB2312"/>
          <w:sz w:val="32"/>
          <w:szCs w:val="32"/>
        </w:rPr>
        <w:t>年全市规模以上现代服务业企业营业收入普遍低于户均营业收入，总体规模偏小，龙头引领企业较少。其中，年营业收入低于5000万元的企业比重为55%，低于1亿元的比重为75%，低于户均营业收入2.8亿元的比重为90%，而10亿元以上企业数量只有10家，占比仅为4%。</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发展结构不优</w:t>
      </w:r>
    </w:p>
    <w:p>
      <w:pPr>
        <w:spacing w:line="600" w:lineRule="exact"/>
        <w:ind w:firstLine="640" w:firstLineChars="200"/>
        <w:rPr>
          <w:rFonts w:ascii="仿宋_GB2312" w:eastAsia="仿宋_GB2312"/>
          <w:sz w:val="32"/>
          <w:szCs w:val="32"/>
        </w:rPr>
      </w:pPr>
      <w:r>
        <w:rPr>
          <w:rFonts w:ascii="仿宋_GB2312" w:eastAsia="仿宋_GB2312"/>
          <w:sz w:val="32"/>
          <w:szCs w:val="32"/>
        </w:rPr>
        <w:t>目前，海口以服务业为主导的产业结构虽已初步形成，但结构不优、传统服务业占比过高等问题突出。2020年，海口服务业占GDP的比重高达80.5%，但海口市软件和信息技术服务业、租赁和商务服务业、科学研究和技术服务业</w:t>
      </w:r>
      <w:r>
        <w:rPr>
          <w:rFonts w:hint="eastAsia" w:ascii="仿宋_GB2312" w:eastAsia="仿宋_GB2312"/>
          <w:sz w:val="32"/>
          <w:szCs w:val="32"/>
        </w:rPr>
        <w:t>等典型现代服务业营业收入占第三产业营收</w:t>
      </w:r>
      <w:r>
        <w:rPr>
          <w:rFonts w:ascii="仿宋_GB2312" w:eastAsia="仿宋_GB2312"/>
          <w:sz w:val="32"/>
          <w:szCs w:val="32"/>
        </w:rPr>
        <w:t>的比重仅为33.65%，低于北京、杭州、上海、深圳等</w:t>
      </w:r>
      <w:r>
        <w:rPr>
          <w:rFonts w:hint="eastAsia" w:ascii="仿宋_GB2312" w:eastAsia="仿宋_GB2312"/>
          <w:sz w:val="32"/>
          <w:szCs w:val="32"/>
        </w:rPr>
        <w:t>现代服务业发达城市</w:t>
      </w:r>
      <w:r>
        <w:rPr>
          <w:rFonts w:ascii="仿宋_GB2312" w:eastAsia="仿宋_GB2312"/>
          <w:sz w:val="32"/>
          <w:szCs w:val="32"/>
        </w:rPr>
        <w:t>。</w:t>
      </w:r>
    </w:p>
    <w:p>
      <w:pPr>
        <w:spacing w:line="600" w:lineRule="exact"/>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高端要素相对稀缺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年，海口美兰机场运行境外航线仅</w:t>
      </w:r>
      <w:r>
        <w:rPr>
          <w:rFonts w:ascii="仿宋_GB2312" w:eastAsia="仿宋_GB2312"/>
          <w:sz w:val="32"/>
          <w:szCs w:val="32"/>
        </w:rPr>
        <w:t>26</w:t>
      </w:r>
      <w:r>
        <w:rPr>
          <w:rFonts w:hint="eastAsia" w:ascii="仿宋_GB2312" w:eastAsia="仿宋_GB2312"/>
          <w:sz w:val="32"/>
          <w:szCs w:val="32"/>
        </w:rPr>
        <w:t>条，与国际航点的直接衔接较为缺乏，导致与此相关的服务业项下人员及货物流动受限。对国际人才、国内高端人才的吸引力相对一线城市而言较弱。</w:t>
      </w:r>
      <w:r>
        <w:rPr>
          <w:rFonts w:ascii="仿宋_GB2312" w:eastAsia="仿宋_GB2312"/>
          <w:sz w:val="32"/>
          <w:szCs w:val="32"/>
        </w:rPr>
        <w:t>在区域竞争中，海南的产业基础与配套服务比较薄弱，承接国际资本和产业转移能力较弱；由于</w:t>
      </w:r>
      <w:r>
        <w:rPr>
          <w:rFonts w:hint="eastAsia" w:ascii="仿宋_GB2312" w:eastAsia="仿宋_GB2312"/>
          <w:sz w:val="32"/>
          <w:szCs w:val="32"/>
        </w:rPr>
        <w:t>经济</w:t>
      </w:r>
      <w:r>
        <w:rPr>
          <w:rFonts w:ascii="仿宋_GB2312" w:eastAsia="仿宋_GB2312"/>
          <w:sz w:val="32"/>
          <w:szCs w:val="32"/>
        </w:rPr>
        <w:t>腹地</w:t>
      </w:r>
      <w:r>
        <w:rPr>
          <w:rFonts w:hint="eastAsia" w:ascii="仿宋_GB2312" w:eastAsia="仿宋_GB2312"/>
          <w:sz w:val="32"/>
          <w:szCs w:val="32"/>
        </w:rPr>
        <w:t>较小</w:t>
      </w:r>
      <w:r>
        <w:rPr>
          <w:rFonts w:ascii="仿宋_GB2312" w:eastAsia="仿宋_GB2312"/>
          <w:sz w:val="32"/>
          <w:szCs w:val="32"/>
        </w:rPr>
        <w:t>，原材料与市场两头在外，导致生产成本、物流成本较高。</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4.开放水平相对滞后</w:t>
      </w:r>
    </w:p>
    <w:p>
      <w:pPr>
        <w:spacing w:line="600" w:lineRule="exact"/>
        <w:ind w:firstLine="640" w:firstLineChars="200"/>
        <w:rPr>
          <w:rFonts w:ascii="仿宋_GB2312" w:eastAsia="仿宋_GB2312"/>
          <w:sz w:val="32"/>
          <w:szCs w:val="32"/>
        </w:rPr>
      </w:pPr>
      <w:r>
        <w:rPr>
          <w:rFonts w:ascii="仿宋_GB2312" w:eastAsia="仿宋_GB2312"/>
          <w:sz w:val="32"/>
          <w:szCs w:val="32"/>
        </w:rPr>
        <w:t>从国际经验看，高度开放是国际自由贸易港成功的</w:t>
      </w:r>
      <w:r>
        <w:rPr>
          <w:rFonts w:hint="eastAsia" w:ascii="仿宋_GB2312" w:eastAsia="仿宋_GB2312"/>
          <w:sz w:val="32"/>
          <w:szCs w:val="32"/>
        </w:rPr>
        <w:t>普遍</w:t>
      </w:r>
      <w:r>
        <w:rPr>
          <w:rFonts w:ascii="仿宋_GB2312" w:eastAsia="仿宋_GB2312"/>
          <w:sz w:val="32"/>
          <w:szCs w:val="32"/>
        </w:rPr>
        <w:t>经验。例如，新加坡作为国际公认的较为成功的自由贸易港，是全球最开放的外向型经济体系之一，其投资环境高度自由。从海口的情况看，与打造自由贸易港这一最高水平开放形态相比</w:t>
      </w:r>
      <w:r>
        <w:rPr>
          <w:rFonts w:hint="eastAsia" w:ascii="仿宋_GB2312" w:eastAsia="仿宋_GB2312"/>
          <w:sz w:val="32"/>
          <w:szCs w:val="32"/>
        </w:rPr>
        <w:t>仍有</w:t>
      </w:r>
      <w:r>
        <w:rPr>
          <w:rFonts w:ascii="仿宋_GB2312" w:eastAsia="仿宋_GB2312"/>
          <w:sz w:val="32"/>
          <w:szCs w:val="32"/>
        </w:rPr>
        <w:t>差距。2020年，海口外商直接投资额</w:t>
      </w:r>
      <w:r>
        <w:rPr>
          <w:rFonts w:hint="eastAsia" w:ascii="仿宋_GB2312" w:eastAsia="仿宋_GB2312"/>
          <w:sz w:val="32"/>
          <w:szCs w:val="32"/>
        </w:rPr>
        <w:t>为1</w:t>
      </w:r>
      <w:r>
        <w:rPr>
          <w:rFonts w:ascii="仿宋_GB2312" w:eastAsia="仿宋_GB2312"/>
          <w:sz w:val="32"/>
          <w:szCs w:val="32"/>
        </w:rPr>
        <w:t>7.23亿美元，</w:t>
      </w:r>
      <w:r>
        <w:rPr>
          <w:rFonts w:hint="eastAsia" w:ascii="仿宋_GB2312" w:eastAsia="仿宋_GB2312"/>
          <w:sz w:val="32"/>
          <w:szCs w:val="32"/>
        </w:rPr>
        <w:t>与国内外先进地区存在较大差距</w:t>
      </w:r>
      <w:r>
        <w:rPr>
          <w:rFonts w:ascii="仿宋_GB2312" w:eastAsia="仿宋_GB2312"/>
          <w:sz w:val="32"/>
          <w:szCs w:val="32"/>
        </w:rPr>
        <w:t>。近两年</w:t>
      </w:r>
      <w:r>
        <w:rPr>
          <w:rFonts w:hint="eastAsia" w:ascii="仿宋_GB2312" w:eastAsia="仿宋_GB2312"/>
          <w:sz w:val="32"/>
          <w:szCs w:val="32"/>
        </w:rPr>
        <w:t>，海南省</w:t>
      </w:r>
      <w:r>
        <w:rPr>
          <w:rFonts w:ascii="仿宋_GB2312" w:eastAsia="仿宋_GB2312"/>
          <w:sz w:val="32"/>
          <w:szCs w:val="32"/>
        </w:rPr>
        <w:t>开放水平</w:t>
      </w:r>
      <w:r>
        <w:rPr>
          <w:rFonts w:hint="eastAsia" w:ascii="仿宋_GB2312" w:eastAsia="仿宋_GB2312"/>
          <w:sz w:val="32"/>
          <w:szCs w:val="32"/>
        </w:rPr>
        <w:t>逐渐</w:t>
      </w:r>
      <w:r>
        <w:rPr>
          <w:rFonts w:ascii="仿宋_GB2312" w:eastAsia="仿宋_GB2312"/>
          <w:sz w:val="32"/>
          <w:szCs w:val="32"/>
        </w:rPr>
        <w:t>提升，如目前海口适用</w:t>
      </w:r>
      <w:r>
        <w:rPr>
          <w:rFonts w:hint="eastAsia" w:ascii="仿宋_GB2312" w:eastAsia="仿宋_GB2312"/>
          <w:sz w:val="32"/>
          <w:szCs w:val="32"/>
        </w:rPr>
        <w:t>《海南自由贸易港外商投资准入特别管理措施（负面清单）（</w:t>
      </w:r>
      <w:r>
        <w:rPr>
          <w:rFonts w:ascii="仿宋_GB2312" w:eastAsia="仿宋_GB2312"/>
          <w:sz w:val="32"/>
          <w:szCs w:val="32"/>
        </w:rPr>
        <w:t>2020</w:t>
      </w:r>
      <w:r>
        <w:rPr>
          <w:rFonts w:hint="eastAsia" w:ascii="仿宋_GB2312" w:eastAsia="仿宋_GB2312"/>
          <w:sz w:val="32"/>
          <w:szCs w:val="32"/>
        </w:rPr>
        <w:t>年版）》</w:t>
      </w:r>
      <w:r>
        <w:rPr>
          <w:rFonts w:ascii="仿宋_GB2312" w:eastAsia="仿宋_GB2312"/>
          <w:sz w:val="32"/>
          <w:szCs w:val="32"/>
        </w:rPr>
        <w:t>，</w:t>
      </w:r>
      <w:r>
        <w:rPr>
          <w:rFonts w:hint="eastAsia" w:ascii="仿宋_GB2312" w:eastAsia="仿宋_GB2312"/>
          <w:sz w:val="32"/>
          <w:szCs w:val="32"/>
        </w:rPr>
        <w:t>已将</w:t>
      </w:r>
      <w:r>
        <w:rPr>
          <w:rFonts w:ascii="仿宋_GB2312" w:eastAsia="仿宋_GB2312"/>
          <w:sz w:val="32"/>
          <w:szCs w:val="32"/>
        </w:rPr>
        <w:t>清单内服务业限制措施</w:t>
      </w:r>
      <w:r>
        <w:rPr>
          <w:rFonts w:hint="eastAsia" w:ascii="仿宋_GB2312" w:eastAsia="仿宋_GB2312"/>
          <w:sz w:val="32"/>
          <w:szCs w:val="32"/>
        </w:rPr>
        <w:t>缩减至</w:t>
      </w:r>
      <w:r>
        <w:rPr>
          <w:rFonts w:ascii="仿宋_GB2312" w:eastAsia="仿宋_GB2312"/>
          <w:sz w:val="32"/>
          <w:szCs w:val="32"/>
        </w:rPr>
        <w:t>22项。</w:t>
      </w:r>
    </w:p>
    <w:p>
      <w:pPr>
        <w:spacing w:line="600" w:lineRule="exact"/>
        <w:outlineLvl w:val="1"/>
        <w:rPr>
          <w:rFonts w:ascii="华文楷体" w:hAnsi="华文楷体" w:eastAsia="华文楷体" w:cs="楷体_GB2312"/>
          <w:b/>
          <w:sz w:val="32"/>
          <w:szCs w:val="32"/>
        </w:rPr>
      </w:pPr>
      <w:bookmarkStart w:id="6" w:name="_Toc85804146"/>
      <w:r>
        <w:rPr>
          <w:rFonts w:hint="eastAsia" w:ascii="华文楷体" w:hAnsi="华文楷体" w:eastAsia="华文楷体" w:cs="楷体_GB2312"/>
          <w:b/>
          <w:sz w:val="32"/>
          <w:szCs w:val="32"/>
        </w:rPr>
        <w:t>（三）面临形势</w:t>
      </w:r>
      <w:bookmarkEnd w:id="6"/>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.党中央谋划部署“双循环”战略，海南具备先发优势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党中央谋划部署推进内外“双循环”战略，旨在依托我国庞大的市场规模和内需潜力，加快构建以国内大循环为主体、国内国际双循环相互促进的新发展格局。在未来，国内市场作为双循环的主导力量，其作用将更加体现。“十四五”期间，海口市推进现代服务业发展，构建先进的现代服务业体系，完善现代服务业市场机制，将有利于调动内需以巩固国内大循环，并通过引入境外先进现代服务业资源与经验，提升国内国际双循环的相互促进。</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.海口市发展现代服务业有利于海南自由贸易港建设</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”讲话中指出，现代服务业是产业发展的趋势，符合海南发展实际，海南在这方面要发挥示范引领作用。《总体方案》明确要求</w:t>
      </w:r>
      <w:r>
        <w:rPr>
          <w:rFonts w:hint="eastAsia" w:ascii="仿宋_GB2312" w:hAnsi="仿宋_GB2312" w:eastAsia="仿宋_GB2312" w:cs="仿宋_GB2312"/>
          <w:sz w:val="32"/>
          <w:szCs w:val="32"/>
        </w:rPr>
        <w:t>大力发展旅游业、现代服务业和高新技术产业，不断夯实实体经济基础，增强产业竞争力。</w:t>
      </w:r>
      <w:r>
        <w:rPr>
          <w:rFonts w:hint="eastAsia" w:ascii="仿宋_GB2312" w:hAnsi="楷体_GB2312" w:eastAsia="仿宋_GB2312" w:cs="楷体_GB2312"/>
          <w:bCs/>
          <w:sz w:val="32"/>
          <w:szCs w:val="32"/>
        </w:rPr>
        <w:t>要瞄准国际标准提高水平，下大气力调优结构，重点发展旅游、互联网、医疗健康、金融、会展等现代服务业，加快服务贸易创新发展，促进服务业优化升级，形成以服务型经济为主的产业结构。海口市发展现代服务业是对现有产业结构的优化升级，也是时代赋予海南的重要使命。</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.海口市发展现代服务业符合国际趋势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随着RCEP签订，海南自贸港的定位进一步深化，南海周边国家和地区合作便利程度进一步加深。海南面临政策红利、技术红利等叠加释放的历史窗口，对海口市现代服务业的需求将产生显著增长。与此同时，海南自身将迎来较大的高质量人口增量，以适应海南自贸港的高速发展，与之相配套的生产性服务业、生活性服务业均面临巨大发展机遇。</w:t>
      </w:r>
    </w:p>
    <w:p>
      <w:pPr>
        <w:spacing w:line="600" w:lineRule="exact"/>
        <w:ind w:firstLine="640" w:firstLineChars="200"/>
        <w:rPr>
          <w:rFonts w:ascii="仿宋_GB2312" w:hAnsi="楷体_GB2312" w:eastAsia="仿宋_GB2312" w:cs="楷体_GB2312"/>
          <w:bCs/>
          <w:sz w:val="32"/>
          <w:szCs w:val="32"/>
        </w:rPr>
      </w:pPr>
    </w:p>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7" w:name="_Toc85804147"/>
      <w:r>
        <w:rPr>
          <w:rFonts w:hint="eastAsia" w:ascii="黑体" w:hAnsi="黑体" w:eastAsia="黑体" w:cs="楷体_GB2312"/>
          <w:b/>
          <w:sz w:val="32"/>
          <w:szCs w:val="32"/>
        </w:rPr>
        <w:t>二、总体要求</w:t>
      </w:r>
      <w:bookmarkEnd w:id="7"/>
    </w:p>
    <w:p>
      <w:pPr>
        <w:spacing w:line="600" w:lineRule="exact"/>
        <w:outlineLvl w:val="1"/>
        <w:rPr>
          <w:rFonts w:ascii="华文楷体" w:hAnsi="华文楷体" w:eastAsia="华文楷体" w:cs="楷体_GB2312"/>
          <w:b/>
          <w:sz w:val="32"/>
          <w:szCs w:val="32"/>
        </w:rPr>
      </w:pPr>
      <w:bookmarkStart w:id="8" w:name="_Toc85804148"/>
      <w:r>
        <w:rPr>
          <w:rFonts w:hint="eastAsia" w:ascii="华文楷体" w:hAnsi="华文楷体" w:eastAsia="华文楷体" w:cs="楷体_GB2312"/>
          <w:b/>
          <w:sz w:val="32"/>
          <w:szCs w:val="32"/>
        </w:rPr>
        <w:t>（一）指导思想</w:t>
      </w:r>
      <w:bookmarkEnd w:id="8"/>
    </w:p>
    <w:p>
      <w:pPr>
        <w:spacing w:line="600" w:lineRule="exact"/>
        <w:ind w:firstLine="640" w:firstLineChars="200"/>
        <w:rPr>
          <w:rFonts w:ascii="仿宋" w:hAnsi="仿宋" w:eastAsia="仿宋_GB2312" w:cs="楷体_GB2312"/>
          <w:bCs/>
          <w:sz w:val="32"/>
          <w:szCs w:val="32"/>
        </w:rPr>
      </w:pPr>
      <w:r>
        <w:rPr>
          <w:rFonts w:hint="eastAsia" w:ascii="仿宋" w:hAnsi="仿宋" w:eastAsia="仿宋_GB2312" w:cs="楷体_GB2312"/>
          <w:bCs/>
          <w:sz w:val="32"/>
          <w:szCs w:val="32"/>
        </w:rPr>
        <w:t>以习近平新时代中国特色社会主义思想为根本指引，准确把握、深入贯彻《中共中央关于制定国民经济和社会发展第十四个五年规划和二</w:t>
      </w:r>
      <w:r>
        <w:rPr>
          <w:rFonts w:hint="eastAsia" w:ascii="微软雅黑" w:hAnsi="微软雅黑" w:eastAsia="微软雅黑" w:cs="微软雅黑"/>
          <w:bCs/>
          <w:sz w:val="32"/>
          <w:szCs w:val="32"/>
        </w:rPr>
        <w:t>〇</w:t>
      </w:r>
      <w:r>
        <w:rPr>
          <w:rFonts w:hint="eastAsia" w:ascii="仿宋" w:hAnsi="仿宋" w:eastAsia="仿宋_GB2312" w:cs="仿宋_GB2312"/>
          <w:bCs/>
          <w:sz w:val="32"/>
          <w:szCs w:val="32"/>
        </w:rPr>
        <w:t>三五年远景目标的建议</w:t>
      </w:r>
      <w:r>
        <w:rPr>
          <w:rFonts w:hint="eastAsia" w:ascii="仿宋" w:hAnsi="仿宋" w:eastAsia="仿宋_GB2312" w:cs="楷体_GB2312"/>
          <w:bCs/>
          <w:sz w:val="32"/>
          <w:szCs w:val="32"/>
        </w:rPr>
        <w:t>》《中共中央、国务院关于支持海南全面深化改革开放的指导意见》《海南自由贸易港建设总体方案》等文件内涵与精神，紧抓海南自由贸易港建设重大历史机遇，</w:t>
      </w:r>
      <w:r>
        <w:rPr>
          <w:rFonts w:hint="eastAsia" w:ascii="仿宋" w:hAnsi="仿宋" w:eastAsia="仿宋_GB2312"/>
          <w:sz w:val="32"/>
          <w:szCs w:val="32"/>
        </w:rPr>
        <w:t>以提高现代服务业发展质量和效益为核心，以构建高质量的现代服务业产业体系为驱动，以更高层面、更高水平的服务业市场开放协同为牵引，以完善现代服务业发展生态为支撑，加快构建现代服务业高质量创新发展体制机制，着力增强引领国内大循环、参与国际大循环的能级，努力建成全国乃至世界现代服务业发展的标杆城市，实现海口市经济新一轮跨越式发展。</w:t>
      </w:r>
    </w:p>
    <w:p>
      <w:pPr>
        <w:spacing w:line="600" w:lineRule="exact"/>
        <w:outlineLvl w:val="1"/>
        <w:rPr>
          <w:rFonts w:ascii="华文楷体" w:hAnsi="华文楷体" w:eastAsia="华文楷体" w:cs="楷体_GB2312"/>
          <w:b/>
          <w:sz w:val="32"/>
          <w:szCs w:val="32"/>
        </w:rPr>
      </w:pPr>
      <w:bookmarkStart w:id="9" w:name="_Toc85804149"/>
      <w:r>
        <w:rPr>
          <w:rFonts w:hint="eastAsia" w:ascii="华文楷体" w:hAnsi="华文楷体" w:eastAsia="华文楷体" w:cs="楷体_GB2312"/>
          <w:b/>
          <w:sz w:val="32"/>
          <w:szCs w:val="32"/>
        </w:rPr>
        <w:t>（二）基本原则</w:t>
      </w:r>
      <w:bookmarkEnd w:id="9"/>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面向“十四五”时期，海口市现代服务业发展将围绕“加速要素流通，促进科技创新，打造人才高地”三大主题，及“加强统筹、重点示范、先行先试、融合提升、立规做市”五大基本原则，着力推动现代服务业高质量发展。</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现代服务业的产业内涵丰富，涉及产业较多。</w:t>
      </w:r>
      <w:r>
        <w:rPr>
          <w:rFonts w:hint="eastAsia" w:ascii="仿宋_GB2312" w:hAnsi="仿宋_GB2312" w:eastAsia="仿宋_GB2312" w:cs="仿宋_GB2312"/>
          <w:sz w:val="32"/>
          <w:szCs w:val="32"/>
        </w:rPr>
        <w:t>遵循现代服务业发展规律和形势，立足现有条件和基础，结合海口市实际和未来需要，围绕三大主题，</w:t>
      </w:r>
      <w:r>
        <w:rPr>
          <w:rFonts w:hint="eastAsia" w:ascii="仿宋_GB2312" w:hAnsi="楷体_GB2312" w:eastAsia="仿宋_GB2312" w:cs="楷体_GB2312"/>
          <w:bCs/>
          <w:sz w:val="32"/>
          <w:szCs w:val="32"/>
        </w:rPr>
        <w:t>重点发展八大核心产业，共同构建海口市现代服务业产业结构。</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——围绕加速要素流动主题</w:t>
      </w:r>
      <w:r>
        <w:rPr>
          <w:rFonts w:hint="eastAsia" w:ascii="仿宋_GB2312" w:hAnsi="楷体_GB2312" w:eastAsia="仿宋_GB2312" w:cs="楷体_GB2312"/>
          <w:bCs/>
          <w:sz w:val="32"/>
          <w:szCs w:val="32"/>
        </w:rPr>
        <w:t>：着重发展现代金融业、现代物流业、现代会展业。加快资本要素、劳动力要素、技术要素、数据要素在海口的集聚和流动，打造海口市现代服务业的独特品牌。</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——围绕促进科技创新主题</w:t>
      </w:r>
      <w:r>
        <w:rPr>
          <w:rFonts w:hint="eastAsia" w:ascii="仿宋_GB2312" w:hAnsi="楷体_GB2312" w:eastAsia="仿宋_GB2312" w:cs="楷体_GB2312"/>
          <w:bCs/>
          <w:sz w:val="32"/>
          <w:szCs w:val="32"/>
        </w:rPr>
        <w:t>：着重发展高端科技研发产业、新一代软件与信息技术服务业与医疗健康产业。服务于科技创新及海口市建设高水平国家创新型城市的部署，促进与高新技术产业的联动。</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——围绕打造人才高地主题</w:t>
      </w:r>
      <w:r>
        <w:rPr>
          <w:rFonts w:hint="eastAsia" w:ascii="仿宋_GB2312" w:hAnsi="楷体_GB2312" w:eastAsia="仿宋_GB2312" w:cs="楷体_GB2312"/>
          <w:bCs/>
          <w:sz w:val="32"/>
          <w:szCs w:val="32"/>
        </w:rPr>
        <w:t>：着重发展高端商务与专业服务业、现代教育产业。夯实服务业基础，改善和提升海口整体人才环境，优化包括旅游业在内的服务人才质量。</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具体到规划发展方式，应基于海口市现代服务业发展实践，坚持以下五大基本原则：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加强统筹</w:t>
      </w:r>
      <w:r>
        <w:rPr>
          <w:rFonts w:hint="eastAsia" w:ascii="仿宋_GB2312" w:hAnsi="华文仿宋" w:eastAsia="仿宋_GB2312"/>
          <w:sz w:val="32"/>
          <w:szCs w:val="32"/>
        </w:rPr>
        <w:t>：建立全市现代服务业统筹协调机制，编制完善政策法规体系。通过建设现代服务业集聚区、创新现代服务业管理体制机制等方式，自顶向下推动现代服务业发展。</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重点示范</w:t>
      </w:r>
      <w:r>
        <w:rPr>
          <w:rFonts w:hint="eastAsia" w:ascii="仿宋_GB2312" w:hAnsi="华文仿宋" w:eastAsia="仿宋_GB2312"/>
          <w:sz w:val="32"/>
          <w:szCs w:val="32"/>
        </w:rPr>
        <w:t>：立足海口实际，瞄准市场需求潜力大、高速发展、处于技术突破期、具有政策红利的重点行业，集中力量引入行业龙头，打造行业发展亮点。</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先行先试</w:t>
      </w:r>
      <w:r>
        <w:rPr>
          <w:rFonts w:hint="eastAsia" w:ascii="仿宋_GB2312" w:hAnsi="华文仿宋" w:eastAsia="仿宋_GB2312"/>
          <w:sz w:val="32"/>
          <w:szCs w:val="32"/>
        </w:rPr>
        <w:t>：充分利用自贸港政策，开展重点行业先行先试。坚定不移推进全面深化改革，消除制约现代服务业发展的体制性障碍，推动服务理念、模式、业态和技术手段创新。推动生产性服务业向专业化和价值链高端延伸，推动各类市场主体参与服务供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融合提升：</w:t>
      </w:r>
      <w:r>
        <w:rPr>
          <w:rFonts w:hint="eastAsia" w:ascii="仿宋_GB2312" w:hAnsi="华文仿宋" w:eastAsia="仿宋_GB2312"/>
          <w:bCs/>
          <w:sz w:val="32"/>
          <w:szCs w:val="32"/>
        </w:rPr>
        <w:t>推动</w:t>
      </w:r>
      <w:r>
        <w:rPr>
          <w:rFonts w:hint="eastAsia" w:ascii="仿宋_GB2312" w:hAnsi="华文仿宋" w:eastAsia="仿宋_GB2312"/>
          <w:sz w:val="32"/>
          <w:szCs w:val="32"/>
        </w:rPr>
        <w:t>现代服务业的基础设施、人才、政策、子行业间的耦合联动。并打造以现代</w:t>
      </w:r>
      <w:r>
        <w:rPr>
          <w:rFonts w:hint="eastAsia" w:ascii="仿宋_GB2312" w:hAnsi="华文仿宋" w:eastAsia="仿宋_GB2312"/>
          <w:bCs/>
          <w:sz w:val="32"/>
          <w:szCs w:val="32"/>
        </w:rPr>
        <w:t>服务业</w:t>
      </w:r>
      <w:r>
        <w:rPr>
          <w:rFonts w:hint="eastAsia" w:ascii="仿宋_GB2312" w:hAnsi="华文仿宋" w:eastAsia="仿宋_GB2312"/>
          <w:sz w:val="32"/>
          <w:szCs w:val="32"/>
        </w:rPr>
        <w:t>产业集群为核心的服务业体系，推动现代服务业同</w:t>
      </w:r>
      <w:r>
        <w:rPr>
          <w:rFonts w:hint="eastAsia" w:ascii="仿宋_GB2312" w:hAnsi="仿宋_GB2312" w:eastAsia="仿宋_GB2312" w:cs="仿宋_GB2312"/>
          <w:sz w:val="32"/>
          <w:szCs w:val="32"/>
        </w:rPr>
        <w:t>高新技术产业</w:t>
      </w:r>
      <w:r>
        <w:rPr>
          <w:rFonts w:hint="eastAsia" w:ascii="仿宋_GB2312" w:hAnsi="华文仿宋" w:eastAsia="仿宋_GB2312"/>
          <w:sz w:val="32"/>
          <w:szCs w:val="32"/>
        </w:rPr>
        <w:t>、旅游业深度融合，加快推进行业数字化转型。</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立规做市</w:t>
      </w:r>
      <w:r>
        <w:rPr>
          <w:rFonts w:hint="eastAsia" w:ascii="仿宋_GB2312" w:hAnsi="华文仿宋" w:eastAsia="仿宋_GB2312"/>
          <w:sz w:val="32"/>
          <w:szCs w:val="32"/>
        </w:rPr>
        <w:t>：充分应用海南自贸港政策红利，率先在现代服务业谋划突破，以建立市场规范、强化服务业市场交易管理服务为抓手，推动现代服务业向高品质和多样化升级，加强公益性、基础性服务业供给。推进现代服务业标准化、品牌化建设。</w:t>
      </w:r>
    </w:p>
    <w:p>
      <w:pPr>
        <w:spacing w:line="600" w:lineRule="exact"/>
        <w:outlineLvl w:val="1"/>
        <w:rPr>
          <w:rFonts w:ascii="华文楷体" w:hAnsi="华文楷体" w:eastAsia="华文楷体" w:cs="楷体_GB2312"/>
          <w:b/>
          <w:sz w:val="32"/>
          <w:szCs w:val="32"/>
        </w:rPr>
      </w:pPr>
      <w:bookmarkStart w:id="10" w:name="_Toc85804150"/>
      <w:r>
        <w:rPr>
          <w:rFonts w:hint="eastAsia" w:ascii="华文楷体" w:hAnsi="华文楷体" w:eastAsia="华文楷体" w:cs="楷体_GB2312"/>
          <w:b/>
          <w:sz w:val="32"/>
          <w:szCs w:val="32"/>
        </w:rPr>
        <w:t>（三）发展目标</w:t>
      </w:r>
      <w:bookmarkEnd w:id="10"/>
    </w:p>
    <w:p>
      <w:pPr>
        <w:spacing w:line="600" w:lineRule="exact"/>
        <w:ind w:firstLine="640" w:firstLineChars="200"/>
        <w:rPr>
          <w:rFonts w:ascii="华文仿宋" w:hAnsi="华文仿宋" w:eastAsia="华文仿宋"/>
          <w:sz w:val="24"/>
        </w:rPr>
      </w:pPr>
      <w:bookmarkStart w:id="11" w:name="_Hlk57242700"/>
      <w:r>
        <w:rPr>
          <w:rFonts w:hint="eastAsia" w:ascii="仿宋_GB2312" w:hAnsi="楷体_GB2312" w:eastAsia="仿宋_GB2312" w:cs="楷体_GB2312"/>
          <w:bCs/>
          <w:sz w:val="32"/>
          <w:szCs w:val="32"/>
        </w:rPr>
        <w:t>到2025年，海口市现代服务业占生产总值比重达到60%，现代服务业产业增加值突破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亿元，年均增长1</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全市服务业在速度质量、空间布局、社会贡献等维度取得明显进展，培育形成一批国内外享有较高知名度、拥有较强竞争力的大企业集团、地域品牌和优势产业，将现代服务业培育成全市首个千亿级现代产业集群。</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基本形成与“以贸易自由便利和投资自由便利为重点的自由贸易港政策制度体系”相适应的服务贸易管理体制、促进机制、监管模式、政策体系；与港澳地区形成在CEPA框架下服务贸易自由化便利化的制度安排。</w:t>
      </w:r>
      <w:bookmarkEnd w:id="11"/>
    </w:p>
    <w:tbl>
      <w:tblPr>
        <w:tblStyle w:val="9"/>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1"/>
        <w:gridCol w:w="2693"/>
        <w:gridCol w:w="15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blHeader/>
          <w:jc w:val="center"/>
        </w:trPr>
        <w:tc>
          <w:tcPr>
            <w:tcW w:w="9634" w:type="dxa"/>
            <w:gridSpan w:val="4"/>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2 </w:t>
            </w:r>
            <w:r>
              <w:rPr>
                <w:rFonts w:hint="eastAsia" w:ascii="仿宋_GB2312" w:hAnsi="仿宋" w:eastAsia="仿宋_GB2312" w:cs="仿宋"/>
                <w:b/>
                <w:bCs/>
                <w:kern w:val="0"/>
                <w:sz w:val="28"/>
                <w:szCs w:val="28"/>
                <w:shd w:val="clear" w:color="080000" w:fill="FFFFFF"/>
              </w:rPr>
              <w:t>“十四五”时期海口市现代服务业主要发展目标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blHeader/>
          <w:jc w:val="center"/>
        </w:trPr>
        <w:tc>
          <w:tcPr>
            <w:tcW w:w="364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指标</w:t>
            </w:r>
          </w:p>
        </w:tc>
        <w:tc>
          <w:tcPr>
            <w:tcW w:w="2693"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w:t>
            </w:r>
          </w:p>
        </w:tc>
        <w:tc>
          <w:tcPr>
            <w:tcW w:w="1599" w:type="dxa"/>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020</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行业情况</w:t>
            </w:r>
          </w:p>
        </w:tc>
        <w:tc>
          <w:tcPr>
            <w:tcW w:w="170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025</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24</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400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持牌金融机构数量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282</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380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现代物流业行业</w:t>
            </w:r>
            <w:r>
              <w:rPr>
                <w:rFonts w:hint="eastAsia" w:ascii="仿宋_GB2312" w:eastAsia="仿宋_GB2312"/>
                <w:kern w:val="0"/>
                <w:sz w:val="24"/>
              </w:rPr>
              <w:t>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125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highlight w:val="yellow"/>
                <w:shd w:val="clear" w:color="080000" w:fill="FFFFFF"/>
              </w:rPr>
            </w:pPr>
            <w:r>
              <w:rPr>
                <w:rFonts w:ascii="仿宋_GB2312" w:hAnsi="仿宋" w:eastAsia="仿宋_GB2312" w:cs="仿宋"/>
                <w:bCs/>
                <w:kern w:val="0"/>
                <w:sz w:val="24"/>
                <w:shd w:val="clear" w:color="080000" w:fill="FFFFFF"/>
              </w:rPr>
              <w:t>12</w:t>
            </w: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现代会展业综合服务收入</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25</w:t>
            </w:r>
            <w:r>
              <w:rPr>
                <w:rFonts w:hint="eastAsia" w:ascii="仿宋_GB2312" w:hAnsi="仿宋" w:eastAsia="仿宋_GB2312" w:cs="仿宋"/>
                <w:bCs/>
                <w:kern w:val="0"/>
                <w:sz w:val="24"/>
                <w:shd w:val="clear" w:color="080000" w:fill="FFFFFF"/>
              </w:rPr>
              <w:t>亿元（取2</w:t>
            </w:r>
            <w:r>
              <w:rPr>
                <w:rFonts w:ascii="仿宋_GB2312" w:hAnsi="仿宋" w:eastAsia="仿宋_GB2312" w:cs="仿宋"/>
                <w:bCs/>
                <w:kern w:val="0"/>
                <w:sz w:val="24"/>
                <w:shd w:val="clear" w:color="080000" w:fill="FFFFFF"/>
              </w:rPr>
              <w:t>019</w:t>
            </w:r>
            <w:r>
              <w:rPr>
                <w:rFonts w:hint="eastAsia" w:ascii="仿宋_GB2312" w:hAnsi="仿宋" w:eastAsia="仿宋_GB2312" w:cs="仿宋"/>
                <w:bCs/>
                <w:kern w:val="0"/>
                <w:sz w:val="24"/>
                <w:shd w:val="clear" w:color="080000" w:fill="FFFFFF"/>
              </w:rPr>
              <w:t>年值）</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规模以上会展活动</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4</w:t>
            </w:r>
            <w:r>
              <w:rPr>
                <w:rFonts w:ascii="仿宋_GB2312" w:hAnsi="仿宋" w:eastAsia="仿宋_GB2312" w:cs="仿宋"/>
                <w:bCs/>
                <w:kern w:val="0"/>
                <w:sz w:val="24"/>
                <w:shd w:val="clear" w:color="080000" w:fill="FFFFFF"/>
              </w:rPr>
              <w:t>20</w:t>
            </w:r>
            <w:r>
              <w:rPr>
                <w:rFonts w:hint="eastAsia" w:ascii="仿宋_GB2312" w:hAnsi="仿宋" w:eastAsia="仿宋_GB2312" w:cs="仿宋"/>
                <w:bCs/>
                <w:kern w:val="0"/>
                <w:sz w:val="24"/>
                <w:shd w:val="clear" w:color="080000" w:fill="FFFFFF"/>
              </w:rPr>
              <w:t>场</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740</w:t>
            </w:r>
            <w:r>
              <w:rPr>
                <w:rFonts w:hint="eastAsia" w:ascii="仿宋_GB2312" w:hAnsi="仿宋" w:eastAsia="仿宋_GB2312" w:cs="仿宋"/>
                <w:bCs/>
                <w:kern w:val="0"/>
                <w:sz w:val="24"/>
                <w:shd w:val="clear" w:color="080000" w:fill="FFFFFF"/>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展览总面积</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8</w:t>
            </w:r>
            <w:r>
              <w:rPr>
                <w:rFonts w:ascii="仿宋_GB2312" w:hAnsi="仿宋" w:eastAsia="仿宋_GB2312" w:cs="仿宋"/>
                <w:bCs/>
                <w:kern w:val="0"/>
                <w:sz w:val="24"/>
                <w:shd w:val="clear" w:color="080000" w:fill="FFFFFF"/>
              </w:rPr>
              <w:t>1</w:t>
            </w:r>
            <w:r>
              <w:rPr>
                <w:rFonts w:hint="eastAsia" w:ascii="仿宋_GB2312" w:hAnsi="仿宋" w:eastAsia="仿宋_GB2312" w:cs="仿宋"/>
                <w:bCs/>
                <w:kern w:val="0"/>
                <w:sz w:val="24"/>
                <w:shd w:val="clear" w:color="080000" w:fill="FFFFFF"/>
              </w:rPr>
              <w:t>万平方米</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160</w:t>
            </w:r>
            <w:r>
              <w:rPr>
                <w:rFonts w:hint="eastAsia" w:ascii="仿宋_GB2312" w:hAnsi="仿宋" w:eastAsia="仿宋_GB2312" w:cs="仿宋"/>
                <w:bCs/>
                <w:kern w:val="0"/>
                <w:sz w:val="24"/>
                <w:shd w:val="clear" w:color="080000" w:fill="FFFFFF"/>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高新技术企业数量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6</w:t>
            </w:r>
            <w:r>
              <w:rPr>
                <w:rFonts w:ascii="仿宋_GB2312" w:hAnsi="仿宋" w:eastAsia="仿宋_GB2312" w:cs="仿宋"/>
                <w:bCs/>
                <w:kern w:val="0"/>
                <w:sz w:val="24"/>
                <w:shd w:val="clear" w:color="080000" w:fill="FFFFFF"/>
              </w:rPr>
              <w:t>88</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总部企业数量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4</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研发经费投入占生产总值比重</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0</w:t>
            </w:r>
            <w:r>
              <w:rPr>
                <w:rFonts w:ascii="仿宋_GB2312" w:hAnsi="仿宋" w:eastAsia="仿宋_GB2312" w:cs="仿宋"/>
                <w:bCs/>
                <w:kern w:val="0"/>
                <w:sz w:val="24"/>
                <w:shd w:val="clear" w:color="080000" w:fill="FFFFFF"/>
              </w:rPr>
              <w:t>.88%</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56</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560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ascii="仿宋_GB2312" w:hAnsi="仿宋" w:eastAsia="仿宋_GB2312" w:cs="仿宋"/>
                <w:bCs/>
                <w:kern w:val="0"/>
                <w:sz w:val="24"/>
                <w:shd w:val="clear" w:color="080000" w:fill="FFFFFF"/>
              </w:rPr>
              <w:t>5%</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高端商务与专业服务业行业增加值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5</w:t>
            </w:r>
            <w:r>
              <w:rPr>
                <w:rFonts w:ascii="仿宋_GB2312" w:hAnsi="仿宋" w:eastAsia="仿宋_GB2312" w:cs="仿宋"/>
                <w:bCs/>
                <w:kern w:val="0"/>
                <w:sz w:val="24"/>
                <w:shd w:val="clear" w:color="080000" w:fill="FFFFFF"/>
              </w:rPr>
              <w:t>8</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高端商务与专业服务业</w:t>
            </w:r>
            <w:r>
              <w:rPr>
                <w:rFonts w:hint="eastAsia" w:ascii="仿宋_GB2312" w:hAnsi="仿宋" w:eastAsia="仿宋_GB2312" w:cs="仿宋"/>
                <w:bCs/>
                <w:kern w:val="0"/>
                <w:sz w:val="24"/>
                <w:shd w:val="clear" w:color="080000" w:fill="FFFFFF"/>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医疗健康产业行业增加值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医疗健康产业</w:t>
            </w:r>
            <w:r>
              <w:rPr>
                <w:rFonts w:hint="eastAsia" w:ascii="仿宋_GB2312" w:eastAsia="仿宋_GB2312"/>
                <w:kern w:val="0"/>
                <w:sz w:val="24"/>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15.4%</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吸引国际教育消费</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现代教育产业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亿元</w:t>
            </w:r>
          </w:p>
        </w:tc>
      </w:tr>
    </w:tbl>
    <w:p>
      <w:pPr>
        <w:adjustRightInd w:val="0"/>
        <w:snapToGrid w:val="0"/>
        <w:spacing w:line="540" w:lineRule="exact"/>
        <w:ind w:firstLine="640" w:firstLineChars="200"/>
        <w:rPr>
          <w:rFonts w:ascii="仿宋_GB2312" w:eastAsia="仿宋_GB2312"/>
          <w:kern w:val="0"/>
          <w:sz w:val="32"/>
          <w:szCs w:val="32"/>
        </w:rPr>
      </w:pPr>
    </w:p>
    <w:p>
      <w:pPr>
        <w:widowControl/>
        <w:jc w:val="left"/>
        <w:rPr>
          <w:rFonts w:ascii="华文楷体" w:hAnsi="华文楷体" w:eastAsia="华文楷体" w:cs="楷体_GB2312"/>
          <w:b/>
          <w:sz w:val="32"/>
          <w:szCs w:val="32"/>
        </w:rPr>
      </w:pPr>
      <w:r>
        <w:rPr>
          <w:rFonts w:ascii="华文楷体" w:hAnsi="华文楷体" w:eastAsia="华文楷体" w:cs="楷体_GB2312"/>
          <w:b/>
          <w:sz w:val="32"/>
          <w:szCs w:val="32"/>
        </w:rPr>
        <w:br w:type="page"/>
      </w:r>
    </w:p>
    <w:p>
      <w:pPr>
        <w:spacing w:line="600" w:lineRule="exact"/>
        <w:outlineLvl w:val="1"/>
        <w:rPr>
          <w:rFonts w:ascii="华文楷体" w:hAnsi="华文楷体" w:eastAsia="华文楷体" w:cs="楷体_GB2312"/>
          <w:b/>
          <w:sz w:val="32"/>
          <w:szCs w:val="32"/>
        </w:rPr>
      </w:pPr>
      <w:bookmarkStart w:id="12" w:name="_Toc85804151"/>
      <w:r>
        <w:rPr>
          <w:rFonts w:hint="eastAsia" w:ascii="华文楷体" w:hAnsi="华文楷体" w:eastAsia="华文楷体" w:cs="楷体_GB2312"/>
          <w:b/>
          <w:sz w:val="32"/>
          <w:szCs w:val="32"/>
        </w:rPr>
        <w:t>（四）空间布局</w:t>
      </w:r>
      <w:bookmarkEnd w:id="12"/>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围绕江东新区总部经济区、临空</w:t>
      </w:r>
      <w:r>
        <w:rPr>
          <w:rFonts w:hint="eastAsia" w:ascii="仿宋_GB2312" w:eastAsia="仿宋_GB2312"/>
          <w:kern w:val="0"/>
          <w:sz w:val="32"/>
          <w:szCs w:val="32"/>
          <w:lang w:eastAsia="zh-CN"/>
        </w:rPr>
        <w:t>经济区</w:t>
      </w:r>
      <w:r>
        <w:rPr>
          <w:rFonts w:hint="eastAsia" w:ascii="仿宋_GB2312" w:eastAsia="仿宋_GB2312"/>
          <w:kern w:val="0"/>
          <w:sz w:val="32"/>
          <w:szCs w:val="32"/>
        </w:rPr>
        <w:t>等重大服务业项目建设，充分发挥各地比较优势，调整现代服务业功能分工和空间布局，</w:t>
      </w:r>
      <w:r>
        <w:rPr>
          <w:rFonts w:hint="eastAsia" w:ascii="仿宋_GB2312" w:eastAsia="仿宋_GB2312"/>
          <w:sz w:val="32"/>
          <w:szCs w:val="32"/>
        </w:rPr>
        <w:t>按照“城乡协调、集聚发展、多区联动”的发展原则，结合海口市</w:t>
      </w:r>
      <w:r>
        <w:rPr>
          <w:rFonts w:hint="eastAsia" w:ascii="仿宋_GB2312" w:hAnsi="楷体_GB2312" w:eastAsia="仿宋_GB2312" w:cs="楷体_GB2312"/>
          <w:bCs/>
          <w:sz w:val="32"/>
          <w:szCs w:val="32"/>
        </w:rPr>
        <w:t>主体功能分区</w:t>
      </w:r>
      <w:r>
        <w:rPr>
          <w:rStyle w:val="11"/>
          <w:rFonts w:hint="default" w:ascii="仿宋_GB2312" w:eastAsia="仿宋_GB2312"/>
          <w:color w:val="auto"/>
        </w:rPr>
        <w:t>、</w:t>
      </w:r>
      <w:r>
        <w:rPr>
          <w:rFonts w:hint="eastAsia" w:ascii="仿宋_GB2312" w:eastAsia="仿宋_GB2312"/>
          <w:sz w:val="32"/>
          <w:szCs w:val="32"/>
        </w:rPr>
        <w:t>未来</w:t>
      </w:r>
      <w:r>
        <w:rPr>
          <w:rStyle w:val="11"/>
          <w:rFonts w:hint="default" w:ascii="仿宋_GB2312" w:eastAsia="仿宋_GB2312"/>
          <w:color w:val="auto"/>
        </w:rPr>
        <w:t>空间开发结构与</w:t>
      </w:r>
      <w:r>
        <w:rPr>
          <w:rFonts w:hint="eastAsia" w:ascii="仿宋_GB2312" w:eastAsia="仿宋_GB2312"/>
          <w:sz w:val="32"/>
          <w:szCs w:val="32"/>
        </w:rPr>
        <w:t>城市功能发展趋势，</w:t>
      </w:r>
      <w:r>
        <w:rPr>
          <w:rFonts w:hint="eastAsia" w:ascii="仿宋_GB2312" w:eastAsia="仿宋_GB2312"/>
          <w:kern w:val="0"/>
          <w:sz w:val="32"/>
          <w:szCs w:val="32"/>
        </w:rPr>
        <w:t>构建“</w:t>
      </w:r>
      <w:r>
        <w:rPr>
          <w:rFonts w:hint="eastAsia" w:ascii="仿宋_GB2312" w:eastAsia="仿宋_GB2312"/>
          <w:b/>
          <w:bCs/>
          <w:kern w:val="0"/>
          <w:sz w:val="32"/>
          <w:szCs w:val="32"/>
        </w:rPr>
        <w:t>一轴、两带、三圈、多点</w:t>
      </w:r>
      <w:r>
        <w:rPr>
          <w:rFonts w:hint="eastAsia" w:ascii="仿宋_GB2312" w:eastAsia="仿宋_GB2312"/>
          <w:kern w:val="0"/>
          <w:sz w:val="32"/>
          <w:szCs w:val="32"/>
        </w:rPr>
        <w:t>”特色鲜明、优势互补的现代服务业发展新格局，促进现代服务业集聚和协同发展。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一轴</w:t>
      </w:r>
      <w:r>
        <w:rPr>
          <w:rFonts w:hint="eastAsia" w:ascii="仿宋_GB2312" w:hAnsi="楷体_GB2312" w:eastAsia="仿宋_GB2312" w:cs="楷体_GB2312"/>
          <w:bCs/>
          <w:sz w:val="32"/>
          <w:szCs w:val="32"/>
        </w:rPr>
        <w:t>”是指以南渡江为中心轴，串联起南北两带呼应、东中西协调联动的整体构架，形成产业空间布局合理、各开发区域特征明确、集聚优势特色明显的现代服务业总体格局。</w:t>
      </w:r>
    </w:p>
    <w:p>
      <w:pPr>
        <w:spacing w:line="600" w:lineRule="exact"/>
        <w:ind w:firstLine="640" w:firstLineChars="200"/>
        <w:rPr>
          <w:rStyle w:val="11"/>
          <w:rFonts w:hint="default" w:ascii="仿宋_GB2312" w:eastAsia="仿宋_GB2312"/>
          <w:color w:val="auto"/>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两带</w:t>
      </w:r>
      <w:r>
        <w:rPr>
          <w:rFonts w:hint="eastAsia" w:ascii="仿宋_GB2312" w:hAnsi="楷体_GB2312" w:eastAsia="仿宋_GB2312" w:cs="楷体_GB2312"/>
          <w:bCs/>
          <w:sz w:val="32"/>
          <w:szCs w:val="32"/>
        </w:rPr>
        <w:t>”是打造北部滨海旅游及高端商务带，与南部生态休闲及文化影视两大特色功能带。</w:t>
      </w:r>
    </w:p>
    <w:p>
      <w:pPr>
        <w:spacing w:line="600" w:lineRule="exact"/>
        <w:ind w:firstLine="640" w:firstLineChars="200"/>
        <w:rPr>
          <w:rFonts w:ascii="仿宋_GB2312" w:eastAsia="仿宋_GB2312"/>
          <w:sz w:val="32"/>
          <w:szCs w:val="32"/>
        </w:rPr>
      </w:pPr>
      <w:r>
        <w:rPr>
          <w:rStyle w:val="11"/>
          <w:rFonts w:hint="default" w:ascii="仿宋_GB2312" w:eastAsia="仿宋_GB2312"/>
          <w:color w:val="auto"/>
        </w:rPr>
        <w:t>“</w:t>
      </w:r>
      <w:r>
        <w:rPr>
          <w:rStyle w:val="11"/>
          <w:rFonts w:hint="default" w:ascii="仿宋_GB2312" w:eastAsia="仿宋_GB2312"/>
          <w:b/>
          <w:bCs/>
          <w:color w:val="auto"/>
        </w:rPr>
        <w:t>三圈</w:t>
      </w:r>
      <w:r>
        <w:rPr>
          <w:rStyle w:val="11"/>
          <w:rFonts w:hint="default" w:ascii="仿宋_GB2312" w:eastAsia="仿宋_GB2312"/>
          <w:color w:val="auto"/>
        </w:rPr>
        <w:t>”是指形成东中西三圈联动的产业布局态势。</w:t>
      </w:r>
      <w:r>
        <w:rPr>
          <w:rFonts w:hint="eastAsia" w:ascii="仿宋_GB2312" w:eastAsia="仿宋_GB2312"/>
          <w:sz w:val="32"/>
          <w:szCs w:val="32"/>
        </w:rPr>
        <w:t>东部为江东总部经济、保税航空维修、现代金融服务与教育培训经济圈，中部以主城区</w:t>
      </w:r>
      <w:r>
        <w:rPr>
          <w:rStyle w:val="11"/>
          <w:rFonts w:hint="default" w:ascii="仿宋_GB2312" w:eastAsia="仿宋_GB2312"/>
          <w:color w:val="auto"/>
        </w:rPr>
        <w:t>高端商务</w:t>
      </w:r>
      <w:r>
        <w:rPr>
          <w:rFonts w:hint="eastAsia" w:ascii="仿宋_GB2312" w:eastAsia="仿宋_GB2312"/>
          <w:sz w:val="32"/>
          <w:szCs w:val="32"/>
        </w:rPr>
        <w:t>、历史文化旅游、互联网服务与公共服务经济圈为核心，西部为商贸</w:t>
      </w:r>
      <w:r>
        <w:rPr>
          <w:rStyle w:val="11"/>
          <w:rFonts w:hint="default" w:ascii="仿宋_GB2312" w:eastAsia="仿宋_GB2312"/>
          <w:color w:val="auto"/>
        </w:rPr>
        <w:t>会展</w:t>
      </w:r>
      <w:r>
        <w:rPr>
          <w:rFonts w:hint="eastAsia" w:ascii="仿宋_GB2312" w:eastAsia="仿宋_GB2312"/>
          <w:sz w:val="32"/>
          <w:szCs w:val="32"/>
        </w:rPr>
        <w:t>、现代物流、文体娱乐和科技服务经济圈。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多点</w:t>
      </w:r>
      <w:r>
        <w:rPr>
          <w:rFonts w:hint="eastAsia" w:ascii="仿宋_GB2312" w:eastAsia="仿宋_GB2312"/>
          <w:sz w:val="32"/>
          <w:szCs w:val="32"/>
        </w:rPr>
        <w:t>”是指形成若干个特色鲜明、优势突出的现代服务业集聚中心，多点开花。按照“优化调整一批、加快推进一批、谋划布局一批”的发展原则，支撑推动海口现代服务业高质量发展。</w:t>
      </w:r>
    </w:p>
    <w:p>
      <w:pPr>
        <w:spacing w:line="600" w:lineRule="exact"/>
        <w:jc w:val="center"/>
        <w:outlineLvl w:val="0"/>
        <w:rPr>
          <w:rFonts w:ascii="黑体" w:hAnsi="黑体" w:eastAsia="黑体" w:cs="楷体_GB2312"/>
          <w:b/>
          <w:sz w:val="32"/>
          <w:szCs w:val="32"/>
        </w:rPr>
      </w:pPr>
      <w:bookmarkStart w:id="13" w:name="_Toc85804152"/>
      <w:r>
        <w:rPr>
          <w:rFonts w:hint="eastAsia" w:ascii="黑体" w:hAnsi="黑体" w:eastAsia="黑体" w:cs="楷体_GB2312"/>
          <w:b/>
          <w:sz w:val="32"/>
          <w:szCs w:val="32"/>
        </w:rPr>
        <w:t>三、发展思路与重点任务</w:t>
      </w:r>
      <w:bookmarkEnd w:id="13"/>
    </w:p>
    <w:p>
      <w:pPr>
        <w:spacing w:line="600" w:lineRule="exact"/>
        <w:outlineLvl w:val="1"/>
        <w:rPr>
          <w:rFonts w:ascii="华文楷体" w:hAnsi="华文楷体" w:eastAsia="华文楷体" w:cs="楷体_GB2312"/>
          <w:b/>
          <w:sz w:val="32"/>
          <w:szCs w:val="32"/>
        </w:rPr>
      </w:pPr>
      <w:bookmarkStart w:id="14" w:name="_Toc85804153"/>
      <w:r>
        <w:rPr>
          <w:rFonts w:hint="eastAsia" w:ascii="华文楷体" w:hAnsi="华文楷体" w:eastAsia="华文楷体" w:cs="楷体_GB2312"/>
          <w:b/>
          <w:sz w:val="32"/>
          <w:szCs w:val="32"/>
        </w:rPr>
        <w:t>（一）加速要素流通，打造服务业品牌</w:t>
      </w:r>
      <w:bookmarkEnd w:id="1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金融业、现代物流业与现代会展业，是海口市发展现代服务业的基石核心产业，在加速资金流、物流、信息流等要素流通方面发挥重要作用，在海口市现代服务业产业结构中占据较大比重，适于作为海口现代服务业的名片重点培育。</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Cs/>
          <w:sz w:val="32"/>
          <w:szCs w:val="32"/>
        </w:rPr>
        <w:t>海口市现代金融业2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年增加值占全市G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比重为1</w:t>
      </w:r>
      <w:r>
        <w:rPr>
          <w:rFonts w:ascii="仿宋_GB2312" w:hAnsi="楷体_GB2312" w:eastAsia="仿宋_GB2312" w:cs="楷体_GB2312"/>
          <w:bCs/>
          <w:sz w:val="32"/>
          <w:szCs w:val="32"/>
        </w:rPr>
        <w:t>2.5</w:t>
      </w:r>
      <w:r>
        <w:rPr>
          <w:rFonts w:hint="eastAsia" w:ascii="仿宋_GB2312" w:hAnsi="楷体_GB2312" w:eastAsia="仿宋_GB2312" w:cs="楷体_GB2312"/>
          <w:bCs/>
          <w:sz w:val="32"/>
          <w:szCs w:val="32"/>
        </w:rPr>
        <w:t>%，占全省金融业比重达</w:t>
      </w:r>
      <w:r>
        <w:rPr>
          <w:rFonts w:ascii="仿宋_GB2312" w:hAnsi="楷体_GB2312" w:eastAsia="仿宋_GB2312" w:cs="楷体_GB2312"/>
          <w:bCs/>
          <w:sz w:val="32"/>
          <w:szCs w:val="32"/>
        </w:rPr>
        <w:t>56.3</w:t>
      </w:r>
      <w:r>
        <w:rPr>
          <w:rFonts w:hint="eastAsia" w:ascii="仿宋_GB2312" w:hAnsi="楷体_GB2312" w:eastAsia="仿宋_GB2312" w:cs="楷体_GB2312"/>
          <w:bCs/>
          <w:sz w:val="32"/>
          <w:szCs w:val="32"/>
        </w:rPr>
        <w:t>%。《总体方案》对金融业扩大开放、改革创新、服务实体经济、防控风险等任务作出了明确指引</w:t>
      </w:r>
      <w:r>
        <w:rPr>
          <w:rFonts w:hint="eastAsia" w:ascii="仿宋_GB2312" w:hAnsi="仿宋_GB2312" w:eastAsia="仿宋_GB2312" w:cs="仿宋_GB2312"/>
          <w:sz w:val="32"/>
          <w:szCs w:val="32"/>
        </w:rPr>
        <w:t>。金融业作为资源配置和宏观调控的重要工具，作为服务实体经济、保障生产要素平稳流动的重要手段，其重要性不言而喻。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海口市现代物流业（按交通运输、仓储和邮政统计口径）2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年增加值</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比重8</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%。物流业是国民经济的基础性、战略性、先导性和服务性产业，更是区域竞争力的重要体现。《总体方案》对加快发展现代物流，加快建设物流网络，构建现代物流体系等作出了明确指引。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现代会展业是习近平总书记在4·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讲话中强调重点发展的现代服务业之一，海南省“十三五”规划将现代会展业列入十二大重点产业。2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9月，《海南省支持会展业发展资金管理办法》实施，体现了海南省委省政府对现代会展业发展的高度重视。现代会展业对其他产业具有显著拉动效应，且有效促进各类优质生产要素集聚。海口市现代会展业的发展在海南省处于引领位置，利于打造海口市现代服务业品牌。</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5" w:name="_Toc85804154"/>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现代金融业</w:t>
      </w:r>
      <w:bookmarkEnd w:id="15"/>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“十三五”期间，在海口市委、市政府高度重视下，海口市金融业平稳发展，对经济社会发展做出了重要贡献，切实扛起省会城市的金融担当。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为实现现代金融业的高质量发展，需要以供给侧结构性改革为主线，发挥金融对经济发展的重要带动作用，按照高质量发展要求，稳步推进金融产业发展，创新体制机制，不断优化营商环境，积极弥补金融基础短板，大力吸引资金、企业、人才等金融要素聚集，进一步推进金融业对外开放，提升金融产业能级量级，服务旅游业、现代服务业和高新技术产业发展，推动贸易和跨境投融资便利化，助推海南自贸港建设。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——推进服务贸易投资自由化便利化：</w:t>
      </w:r>
      <w:r>
        <w:rPr>
          <w:rFonts w:hint="eastAsia" w:ascii="仿宋_GB2312" w:hAnsi="楷体_GB2312" w:eastAsia="仿宋_GB2312" w:cs="楷体_GB2312"/>
          <w:bCs/>
          <w:sz w:val="32"/>
          <w:szCs w:val="32"/>
        </w:rPr>
        <w:t>围绕《总体方案》要求，强化金融支持，赋能自贸港建设。在有效监督基础下，依法合规大力提升跨境贸易、投资和融资等领域自由化、便利化程度，扩大金融业对内对外开放，推进建设高水平自由贸易港。积极推进运用金融工具以支持海南自贸港建设中的资金需求，拓宽多种融资渠道盘活存量资源、筹措增量资金，以保障海南自贸港建设中的金融需求得到满足。</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——支持重点产业高质量发展：</w:t>
      </w:r>
      <w:r>
        <w:rPr>
          <w:rFonts w:hint="eastAsia" w:ascii="仿宋_GB2312" w:hAnsi="楷体_GB2312" w:eastAsia="仿宋_GB2312" w:cs="楷体_GB2312"/>
          <w:bCs/>
          <w:sz w:val="32"/>
          <w:szCs w:val="32"/>
        </w:rPr>
        <w:t>注重现代金融业与实体经济结合，鼓励金融业服务于实体经济并促进实体经济发展，既是践行党的十九大报告有关建设创新型国家的精神，也是鼓励经济建设“脱虚向实”，转变发展方式及提高经济增长质量的重要手段。“十四五”时期，海口市现代金融业加快发展旅游金融、消费金融、贸易金融、医疗金融、科技金融等产业金融，推动产业聚集规模和产业竞争力的提升，促进产融互动共生发展新格局。</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——健全金融风险防控体系：</w:t>
      </w:r>
      <w:r>
        <w:rPr>
          <w:rFonts w:hint="eastAsia" w:ascii="仿宋_GB2312" w:hAnsi="楷体_GB2312" w:eastAsia="仿宋_GB2312" w:cs="楷体_GB2312"/>
          <w:bCs/>
          <w:sz w:val="32"/>
          <w:szCs w:val="32"/>
        </w:rPr>
        <w:t>围绕《总体方案》要求，</w:t>
      </w:r>
      <w:r>
        <w:rPr>
          <w:rFonts w:hint="eastAsia" w:ascii="仿宋_GB2312" w:hAnsi="仿宋_GB2312" w:eastAsia="仿宋_GB2312" w:cs="仿宋_GB2312"/>
          <w:sz w:val="32"/>
          <w:szCs w:val="32"/>
        </w:rPr>
        <w:t>制定实施有效措施，有针对性防范化解贸易、投资、金融等领域重大风险。通过强化金融监管协作、完善属地金融治理、加强金融法制建设等措施，加快构建现代化地方金融治理体系和治理机制，完善金融法治建设，健全多维度数字化的风险防控体系，提高金融风险应急处置能力，切实维护地方金融安全和金融稳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——打造丰富多元的金融业态：</w:t>
      </w:r>
      <w:r>
        <w:rPr>
          <w:rFonts w:hint="eastAsia" w:ascii="仿宋_GB2312" w:hAnsi="楷体_GB2312" w:eastAsia="仿宋_GB2312" w:cs="楷体_GB2312"/>
          <w:bCs/>
          <w:sz w:val="32"/>
          <w:szCs w:val="32"/>
        </w:rPr>
        <w:t>海口市需抓住海南自贸港建设发展的历史机遇，在国际财富管理、要素交易、金融科技、绿色金融方面先行先试，通过引进国内外先进经验、引入国际化人才队伍，推动特色金融在海口的落地发展。鼓励融资租赁等创新业态，探索P</w:t>
      </w:r>
      <w:r>
        <w:rPr>
          <w:rFonts w:ascii="仿宋_GB2312" w:hAnsi="楷体_GB2312" w:eastAsia="仿宋_GB2312" w:cs="楷体_GB2312"/>
          <w:bCs/>
          <w:sz w:val="32"/>
          <w:szCs w:val="32"/>
        </w:rPr>
        <w:t>PP</w:t>
      </w:r>
      <w:r>
        <w:rPr>
          <w:rFonts w:hint="eastAsia" w:ascii="仿宋_GB2312" w:hAnsi="楷体_GB2312" w:eastAsia="仿宋_GB2312" w:cs="楷体_GB2312"/>
          <w:bCs/>
          <w:sz w:val="32"/>
          <w:szCs w:val="32"/>
        </w:rPr>
        <w:t>融资模式等在基础设施建设中的作用，引导社会资本参与基础设施和民生事业。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——完善普惠金融体系：</w:t>
      </w:r>
      <w:r>
        <w:rPr>
          <w:rFonts w:hint="eastAsia" w:ascii="仿宋_GB2312" w:hAnsi="楷体_GB2312" w:eastAsia="仿宋_GB2312" w:cs="楷体_GB2312"/>
          <w:bCs/>
          <w:sz w:val="32"/>
          <w:szCs w:val="32"/>
        </w:rPr>
        <w:t>构建与社会发展水平相适应的普惠金融服务和保障体系，提升金融服务的覆盖率、可得性和满意度，尤其要大力发展农村金融及中小微企业金融服务，加强普惠金融教育，强化金融消费者权益保护。</w:t>
      </w:r>
    </w:p>
    <w:p>
      <w:pPr>
        <w:spacing w:line="600" w:lineRule="exact"/>
        <w:ind w:firstLine="42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形成丰富的特色金融细分产业布局；在数字人民币、绿色金融等多元化领域取得一批金融创新成果。对重点产业服务能力显著增强，发展特色产业金融。通过创新融资渠道，形成投资建设金融服务枢纽。做大做强本地金融机构，普惠金融体系基本完善。培育市属金融发展平台，初步形成海口市金融集聚区。推动金融开放水平显著提升。</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到2025年，海口市力争实现全市金融业增加值突破400亿元；境内外上市企业数量达到50家，上市后备企业100家；各类持牌金融机构数量达到</w:t>
      </w:r>
      <w:r>
        <w:rPr>
          <w:rFonts w:ascii="仿宋_GB2312" w:hAnsi="楷体_GB2312" w:eastAsia="仿宋_GB2312" w:cs="楷体_GB2312"/>
          <w:bCs/>
          <w:sz w:val="32"/>
          <w:szCs w:val="32"/>
        </w:rPr>
        <w:t>380</w:t>
      </w:r>
      <w:r>
        <w:rPr>
          <w:rFonts w:hint="eastAsia" w:ascii="仿宋_GB2312" w:hAnsi="楷体_GB2312" w:eastAsia="仿宋_GB2312" w:cs="楷体_GB2312"/>
          <w:bCs/>
          <w:sz w:val="32"/>
          <w:szCs w:val="32"/>
        </w:rPr>
        <w:t>家。成功发起设立或引入1家信托公司、1家具有跨区域经营能力的商业银行。</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3 </w:t>
            </w:r>
            <w:r>
              <w:rPr>
                <w:rFonts w:hint="eastAsia" w:ascii="仿宋_GB2312" w:hAnsi="仿宋" w:eastAsia="仿宋_GB2312" w:cs="仿宋"/>
                <w:b/>
                <w:bCs/>
                <w:kern w:val="0"/>
                <w:sz w:val="28"/>
                <w:szCs w:val="28"/>
                <w:shd w:val="clear" w:color="080000" w:fill="FFFFFF"/>
              </w:rPr>
              <w:t>现代金融业建设专项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1</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引进外资证券公司，基金公司，资产管理公司，期货公司于海口设立外商独资或者合资机构：</w:t>
            </w:r>
            <w:r>
              <w:rPr>
                <w:rFonts w:hint="eastAsia" w:ascii="仿宋_GB2312" w:hAnsi="仿宋" w:eastAsia="仿宋_GB2312" w:cs="仿宋"/>
                <w:bCs/>
                <w:kern w:val="0"/>
                <w:sz w:val="24"/>
                <w:shd w:val="clear" w:color="080000" w:fill="FFFFFF"/>
              </w:rPr>
              <w:t>依托海南自贸港政策，积极引入领先的外资金融企业。通过引入国际优质金融机构，努力将海口打造成有影响力的区域金融中枢，做大金融市场，提振金融活力。</w:t>
            </w:r>
          </w:p>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2</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自主设立或外部引入大型保险公司落位海口</w:t>
            </w:r>
            <w:r>
              <w:rPr>
                <w:rFonts w:hint="eastAsia" w:ascii="仿宋_GB2312" w:hAnsi="仿宋" w:eastAsia="仿宋_GB2312" w:cs="仿宋"/>
                <w:bCs/>
                <w:kern w:val="0"/>
                <w:sz w:val="24"/>
                <w:shd w:val="clear" w:color="080000" w:fill="FFFFFF"/>
              </w:rPr>
              <w:t>：设立保险公司或引入国内外大型保险公司入驻海口，提升海口在全国乃至全球金融市场的知名度。</w:t>
            </w:r>
          </w:p>
          <w:p>
            <w:pPr>
              <w:spacing w:line="400" w:lineRule="exact"/>
              <w:ind w:firstLine="482" w:firstLineChars="200"/>
              <w:jc w:val="left"/>
              <w:rPr>
                <w:rFonts w:ascii="Arial" w:hAnsi="Arial" w:eastAsia="仿宋_GB2312" w:cs="Arial"/>
                <w:sz w:val="24"/>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大力推进国际化要素交易场所建设：</w:t>
            </w:r>
            <w:r>
              <w:rPr>
                <w:rFonts w:hint="eastAsia" w:ascii="仿宋_GB2312" w:hAnsi="仿宋" w:eastAsia="仿宋_GB2312" w:cs="仿宋"/>
                <w:bCs/>
                <w:kern w:val="0"/>
                <w:sz w:val="24"/>
                <w:shd w:val="clear" w:color="080000" w:fill="FFFFFF"/>
              </w:rPr>
              <w:t>大力推进在海口建设国际能源、航运、产权、股权等交易场所，并且大力提升交易场所国际化水平，</w:t>
            </w:r>
            <w:r>
              <w:rPr>
                <w:rFonts w:hint="eastAsia" w:ascii="Arial" w:hAnsi="Arial" w:eastAsia="仿宋_GB2312" w:cs="Arial"/>
                <w:sz w:val="24"/>
              </w:rPr>
              <w:t>打造国际化要素交易中心，配置全球高端要素资源，以</w:t>
            </w:r>
            <w:r>
              <w:rPr>
                <w:rFonts w:ascii="Arial" w:hAnsi="Arial" w:eastAsia="仿宋_GB2312" w:cs="Arial"/>
                <w:sz w:val="24"/>
              </w:rPr>
              <w:t>更好的服务实体经济</w:t>
            </w:r>
            <w:r>
              <w:rPr>
                <w:rFonts w:hint="eastAsia" w:ascii="Arial" w:hAnsi="Arial" w:eastAsia="仿宋_GB2312" w:cs="Arial"/>
                <w:sz w:val="24"/>
              </w:rPr>
              <w:t>。</w:t>
            </w:r>
          </w:p>
        </w:tc>
      </w:tr>
    </w:tbl>
    <w:p>
      <w:pPr>
        <w:spacing w:line="600" w:lineRule="exact"/>
        <w:ind w:firstLine="640" w:firstLineChars="200"/>
        <w:rPr>
          <w:rFonts w:ascii="仿宋_GB2312" w:hAnsi="楷体_GB2312" w:eastAsia="仿宋_GB2312" w:cs="楷体_GB2312"/>
          <w:bCs/>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6" w:name="_Toc85804155"/>
      <w:r>
        <w:rPr>
          <w:rFonts w:hint="eastAsia" w:ascii="仿宋_GB2312" w:hAnsi="楷体_GB2312" w:eastAsia="仿宋_GB2312" w:cs="楷体_GB2312"/>
          <w:b/>
          <w:sz w:val="32"/>
          <w:szCs w:val="32"/>
        </w:rPr>
        <w:t>2</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现代物流业</w:t>
      </w:r>
      <w:bookmarkEnd w:id="16"/>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物流规模保持较快增长，物流产业规模不断扩大。全市初步形成以海港、空港两大物流系统为支撑的区域国际现代物流枢纽。在海口市政府的支持下，出台了多项现代物流业政策与规划，营造了良好的政策环境。</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现代物流业已步入转型升级、结构优化、提质增效发展的新阶段。需立足海口市产业基础、地理交通区位条件，充分利用好海南自由贸易港建设的各项政策优势，以物流供应链总部经济、航空物流、冷链物流、智慧物流等为重点发展方向，持续优化物流产业发展布局，不断引入和培育物流供应链企业，深度融入国际、国内物流服务体系，提升海口市现代物流业发展水平和层次，努力将海口建设成为以国际航空货运中转枢纽、全球物流供应链综合服务枢纽及区域航运物流枢纽为核心且具有全球竞争力的国际物流枢纽城市。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——持续优化物流业空间布局：</w:t>
      </w:r>
      <w:r>
        <w:rPr>
          <w:rFonts w:hint="eastAsia" w:ascii="仿宋_GB2312" w:hAnsi="楷体_GB2312" w:eastAsia="仿宋_GB2312" w:cs="楷体_GB2312"/>
          <w:bCs/>
          <w:sz w:val="32"/>
          <w:szCs w:val="32"/>
        </w:rPr>
        <w:t>推动海港、空港两大物流集聚区建设与老旧零散物流园集中搬迁，提高物流产业集聚度。分类建设枢纽型物流园区、商贸服务型物流枢纽、节点型物流园；积极提升海港、空港基础设施建设，提升航空货运与航运运力。按照海南自贸港发展定位，规划新建或改造升级现有物流网络，形成区-镇-村三级配送体系，完善城乡消费物流网络。</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——培育发展物流供应链体系：</w:t>
      </w:r>
      <w:r>
        <w:rPr>
          <w:rFonts w:hint="eastAsia" w:ascii="仿宋_GB2312" w:hAnsi="楷体_GB2312" w:eastAsia="仿宋_GB2312" w:cs="楷体_GB2312"/>
          <w:bCs/>
          <w:sz w:val="32"/>
          <w:szCs w:val="32"/>
        </w:rPr>
        <w:t>发挥海南自由贸易港政策优势，积极引进国内外供应链总部型企业，为物流供应链上下游企业提供高效对接平台。推动互联网、物联网、大数据等技术与供应链有机结合，建设一批模式先进、协同性强、辐射力广的重点行业智慧供应链平台。与金融业特色金融服务结合，鼓励发展供应链金融服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——推动物流行业数字化转型：</w:t>
      </w:r>
      <w:r>
        <w:rPr>
          <w:rFonts w:hint="eastAsia" w:ascii="仿宋_GB2312" w:hAnsi="楷体_GB2312" w:eastAsia="仿宋_GB2312" w:cs="楷体_GB2312"/>
          <w:bCs/>
          <w:sz w:val="32"/>
          <w:szCs w:val="32"/>
        </w:rPr>
        <w:t>着力发展智慧物流和平台经济，搭建海口市智慧物流供应链公共信息平台，在保障数据安全的前提下，促进物流信息开放共享。大力发展数字物流，加强数字物流基础设施建设，推进货、车（船、飞机）、场、港等物流要素数字化。鼓励智能化立体仓库、数字化终端设备、智能快递柜、智能配送等数字化先进技术与设备应用。推动物联网、大数据、云计算等先进信息技术运用，推动关键信息共享、良性互动，以期提高企业决策、生产及管理效率。</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——大力发展冷链物流：</w:t>
      </w:r>
      <w:r>
        <w:rPr>
          <w:rFonts w:hint="eastAsia" w:ascii="仿宋_GB2312" w:hAnsi="楷体_GB2312" w:eastAsia="仿宋_GB2312" w:cs="楷体_GB2312"/>
          <w:bCs/>
          <w:sz w:val="32"/>
          <w:szCs w:val="32"/>
        </w:rPr>
        <w:t>建设海口国际冷链物流中心及冷链数字物流平台，积极推进国际标准商品码的应用，建设和完善食品追溯体系，支撑食品品牌体系建设，建立海南冷链商标。积极引导生鲜冷链物流企业，率先引进国际先进的HACCP（危害分析和临界控制点）认证、GMP（良好操作规范）等管理技术，普遍实现全程低温控制，开展ISO 国际认证。重点发展冷链进出口加工、包装等增值服务，超常规做大冷链物流总量，促进冷链转口贸易发展。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——大力发展航空货运：</w:t>
      </w:r>
      <w:r>
        <w:rPr>
          <w:rFonts w:hint="eastAsia" w:ascii="仿宋_GB2312" w:hAnsi="楷体_GB2312" w:eastAsia="仿宋_GB2312" w:cs="楷体_GB2312"/>
          <w:bCs/>
          <w:sz w:val="32"/>
          <w:szCs w:val="32"/>
        </w:rPr>
        <w:t>抓住海南自贸港第五、第七航权开放政策落地的机遇，充分利用保税航油、运营交通工具零关税等政策优势，着力完善航空基础设施保障体系，增强航空货运供给能力，提升航空物流服务水平和专业化能力，培育引进具有国际竞争力的航空货运企业，构建航空物流产业生态体系。并依托航空货运生态，发展国际航空维修、改装以及航空租赁服务贸易。</w:t>
      </w:r>
    </w:p>
    <w:p>
      <w:pPr>
        <w:spacing w:line="600" w:lineRule="exact"/>
        <w:ind w:firstLine="643" w:firstLineChars="200"/>
        <w:rPr>
          <w:rFonts w:ascii="仿宋_GB2312" w:hAnsi="楷体_GB2312" w:eastAsia="仿宋_GB2312" w:cs="楷体_GB2312"/>
          <w:b/>
          <w:sz w:val="32"/>
          <w:szCs w:val="32"/>
        </w:rPr>
      </w:pP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创新港口管理体制机制，推动港口资源整合，拓展航运服务产业链，推动保税仓储、国际物流配送、转口贸易、大宗商品贸易、进口商品展销、流通加工、集装箱拆拼箱等业务发展，提高全球供应链服务管理能力，推动港口、产业、城市融合发展。到2025年，海口市物流基础设施更加完善，国际物流服务能力和枢纽地位明显提升，物流组织运营更加高效安全，物流运行成本持续下降，物流供应链企业综合竞争力大幅提高，将现代物流业发展成为海口市的支柱产业，培育形成海口市经济社会发展的新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：力争到2025年，产业增加值达到</w:t>
      </w:r>
      <w:r>
        <w:rPr>
          <w:rFonts w:ascii="仿宋_GB2312" w:hAnsi="楷体_GB2312" w:eastAsia="仿宋_GB2312" w:cs="楷体_GB2312"/>
          <w:bCs/>
          <w:sz w:val="32"/>
          <w:szCs w:val="32"/>
        </w:rPr>
        <w:t>205</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12</w:t>
      </w:r>
      <w:r>
        <w:rPr>
          <w:rFonts w:hint="eastAsia" w:ascii="仿宋_GB2312" w:hAnsi="楷体_GB2312" w:eastAsia="仿宋_GB2312" w:cs="楷体_GB2312"/>
          <w:bCs/>
          <w:sz w:val="32"/>
          <w:szCs w:val="32"/>
        </w:rPr>
        <w:t>%以上。引进或培育15家5A级供应链服务企业，3家以上5A级物流企业。冷库总容量达到150万m</w:t>
      </w:r>
      <w:r>
        <w:rPr>
          <w:rFonts w:ascii="Calibri" w:hAnsi="Calibri" w:eastAsia="仿宋_GB2312" w:cs="Calibri"/>
          <w:bCs/>
          <w:sz w:val="32"/>
          <w:szCs w:val="32"/>
        </w:rPr>
        <w:t>³</w:t>
      </w:r>
      <w:r>
        <w:rPr>
          <w:rFonts w:hint="eastAsia" w:ascii="仿宋_GB2312" w:hAnsi="仿宋_GB2312" w:eastAsia="仿宋_GB2312" w:cs="仿宋_GB2312"/>
          <w:bCs/>
          <w:sz w:val="32"/>
          <w:szCs w:val="32"/>
        </w:rPr>
        <w:t>以上</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4 </w:t>
            </w:r>
            <w:r>
              <w:rPr>
                <w:rFonts w:hint="eastAsia" w:ascii="仿宋_GB2312" w:hAnsi="仿宋" w:eastAsia="仿宋_GB2312" w:cs="仿宋"/>
                <w:b/>
                <w:bCs/>
                <w:kern w:val="0"/>
                <w:sz w:val="28"/>
                <w:szCs w:val="28"/>
                <w:shd w:val="clear" w:color="080000" w:fill="FFFFFF"/>
              </w:rPr>
              <w:t>现代物流业建设专项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建设成为国际航空货运中转枢纽：</w:t>
            </w:r>
            <w:r>
              <w:rPr>
                <w:rFonts w:hint="eastAsia" w:ascii="仿宋_GB2312" w:hAnsi="仿宋" w:eastAsia="仿宋_GB2312" w:cs="仿宋"/>
                <w:bCs/>
                <w:kern w:val="0"/>
                <w:sz w:val="24"/>
                <w:shd w:val="clear" w:color="080000" w:fill="FFFFFF"/>
              </w:rPr>
              <w:t>以建设通达全球的航空货运网络为核心，以发展临空经济区和航空外向型产业为支撑，积极推动第五、第七航权开放政策落地，着力完善航空基础设施保障体系，增强航空货运供给能力，提升航空物流服务水平和专业化能力，培育引进具有国际竞争力的航空货运企业，构建航空物流产业生态体系，努力做强海南航空物流产业板块，最终将海口发展成为连接大陆地区，面向太平洋和印度洋的国际航运货运中转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hint="eastAsia" w:ascii="仿宋_GB2312" w:hAnsi="仿宋" w:eastAsia="仿宋_GB2312" w:cs="仿宋"/>
                <w:b/>
                <w:kern w:val="0"/>
                <w:sz w:val="24"/>
                <w:shd w:val="clear" w:color="080000" w:fill="FFFFFF"/>
              </w:rPr>
              <w:t>建设成为全球物流供应链综合服务枢纽</w:t>
            </w:r>
            <w:r>
              <w:rPr>
                <w:rFonts w:hint="eastAsia" w:ascii="仿宋_GB2312" w:hAnsi="仿宋" w:eastAsia="仿宋_GB2312" w:cs="仿宋"/>
                <w:bCs/>
                <w:kern w:val="0"/>
                <w:sz w:val="24"/>
                <w:shd w:val="clear" w:color="080000" w:fill="FFFFFF"/>
              </w:rPr>
              <w:t>：发挥海南自由贸易港政策优势，集聚国内外物流供应链企业总部，大力发展物流供应链总部经济，提升海口市在集中采购、转口贸易、支付结算、协同分销、供应链金融等供应链全链条的服务能力。以冷链物流供应链为切入口，高起点高标准建设冷链设施体系，谋划布局建设公共冷库项目，完善进境冷链仓储、深加工、包装等设施配套以及检验检疫、通关、转运等公共功能配套，逐步形成临港临空冷链产业集群，最终将海口打造成为全球物流供应链综合服务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hint="eastAsia" w:ascii="仿宋_GB2312" w:hAnsi="仿宋" w:eastAsia="仿宋_GB2312" w:cs="仿宋"/>
                <w:b/>
                <w:kern w:val="0"/>
                <w:sz w:val="24"/>
                <w:shd w:val="clear" w:color="080000" w:fill="FFFFFF"/>
              </w:rPr>
              <w:t>建设成为区域航运物流枢纽</w:t>
            </w:r>
            <w:r>
              <w:rPr>
                <w:rFonts w:hint="eastAsia" w:ascii="仿宋_GB2312" w:hAnsi="仿宋" w:eastAsia="仿宋_GB2312" w:cs="仿宋"/>
                <w:bCs/>
                <w:kern w:val="0"/>
                <w:sz w:val="24"/>
                <w:shd w:val="clear" w:color="080000" w:fill="FFFFFF"/>
              </w:rPr>
              <w:t>：以服务于琼州海峡商旅往来和琼北生产生活物资运输为重点，对标世界先进航运中心，通过优化港口物流功能区布局，形成以秀英港为国际邮轮港区、马村港为集装箱和件杂货港区以及新海港为客货滚装港区的港口物流发展格局，做大做强航运服务业，推进海口港由传统运输平台向产业平台、贸易平台、信息平台、金融平台拓展，将海口港发展成为联通北部湾物流网络、畅通西路陆海新通道、衔接“一带一路”重要门户的区域航运物流枢纽。</w:t>
            </w:r>
          </w:p>
          <w:p>
            <w:pPr>
              <w:spacing w:line="400" w:lineRule="exact"/>
              <w:ind w:firstLine="482" w:firstLineChars="200"/>
              <w:jc w:val="left"/>
              <w:rPr>
                <w:rFonts w:ascii="仿宋_GB2312" w:hAnsi="仿宋" w:eastAsia="仿宋_GB2312" w:cs="仿宋"/>
                <w:bCs/>
                <w:kern w:val="0"/>
                <w:sz w:val="28"/>
                <w:szCs w:val="28"/>
                <w:shd w:val="clear" w:color="080000" w:fill="FFFFFF"/>
              </w:rPr>
            </w:pPr>
            <w:r>
              <w:rPr>
                <w:rFonts w:hint="eastAsia" w:ascii="仿宋_GB2312" w:hAnsi="仿宋" w:eastAsia="仿宋_GB2312" w:cs="仿宋"/>
                <w:b/>
                <w:kern w:val="0"/>
                <w:sz w:val="24"/>
                <w:shd w:val="clear" w:color="080000" w:fill="FFFFFF"/>
              </w:rPr>
              <w:t>4</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加快培育引进一批骨干物流供应链企业：</w:t>
            </w:r>
            <w:r>
              <w:rPr>
                <w:rFonts w:hint="eastAsia" w:ascii="仿宋_GB2312" w:hAnsi="仿宋" w:eastAsia="仿宋_GB2312" w:cs="仿宋"/>
                <w:bCs/>
                <w:kern w:val="0"/>
                <w:sz w:val="24"/>
                <w:shd w:val="clear" w:color="080000" w:fill="FFFFFF"/>
              </w:rPr>
              <w:t>在航运物流、航空物流、物流供应链、冷链物流、智慧物流、平台经济等物流重点行业和领域，培育一批具有国际竞争力的本土龙头物流企业，加快引进以世界5</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强以及中国1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强物流供应链企业为重点的大型物流企业，提升海口市物流企业的综合实力。</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7" w:name="_Toc85804156"/>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 现代会展业</w:t>
      </w:r>
      <w:bookmarkEnd w:id="17"/>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海口市现代会展业得到各级政府的重视.“十三五”期间，现代会展业被纳入海南省十二大重点产业之一，发展态势良好，规模保持稳步增长，结构得到不断优化，会议、展览、节事活动的数量和规模都有了显著提升。</w:t>
      </w:r>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习近平主席曾提出“办好一个会，搞活一座城”。当前，国际会展业重心从欧美向亚太新兴经济体转移，</w:t>
      </w:r>
      <w:r>
        <w:rPr>
          <w:rFonts w:hint="eastAsia" w:ascii="仿宋_GB2312" w:hAnsi="楷体_GB2312" w:eastAsia="仿宋_GB2312" w:cs="楷体_GB2312"/>
          <w:bCs/>
          <w:sz w:val="32"/>
          <w:szCs w:val="32"/>
        </w:rPr>
        <w:t>海口市现代会展业应站在建设全球最大自由贸易港的战略高度，通过发展多重会展业态，建立完善的会展产业经济生态。通过完成海口既有场馆设施提质升级、完善相关配套设施、优化产业政策、整合人力资源来全面提升海口市会展业的综合竞争力。海口市以建设区域性国际会展中心为总体目标，围绕世界会议之角、亚太展览之都、节庆赛事名城的三大战略定位，构建全方位开放发展格局，充分发挥省会中心城市的带头、引领和示范作用。主要发展思路包括：</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——大力培育市场主体：</w:t>
      </w:r>
      <w:r>
        <w:rPr>
          <w:rFonts w:hint="eastAsia" w:ascii="仿宋_GB2312" w:hAnsi="华文仿宋" w:eastAsia="仿宋_GB2312"/>
          <w:sz w:val="32"/>
          <w:szCs w:val="32"/>
        </w:rPr>
        <w:t>鼓励国有企业、国有资产投入现代会展业，重点培育在国内有影响力的本地会展企业以及产业龙头企业，支持通过收购、兼并、控股、参股、联合等形式组建竞争力强的本土会展企业集团。选择国内外知名会展企业作为合作伙伴，以股权投资、合作经营、委托经营等形式，集中财力和各种办展资源，采取市场化运作方式，成立大型股份制会展平台公司。支持有发展潜力的中小会展企业加快发展。</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——打造会展行业完整产业链：</w:t>
      </w:r>
      <w:r>
        <w:rPr>
          <w:rFonts w:hint="eastAsia" w:ascii="仿宋_GB2312" w:hAnsi="华文仿宋" w:eastAsia="仿宋_GB2312"/>
          <w:sz w:val="32"/>
          <w:szCs w:val="32"/>
        </w:rPr>
        <w:t>打通会展行业上下游发展渠道，围绕会展场馆及活动，积极引导会展企业与策划、广告、印刷、设计、安装、租赁等展会服务企业、以及与金融、旅游、交通、物流等会展配套服务企业的共同发展，发挥集聚效应。形成“会展+”的产业发展模式，通过行业联动、产业配套以打造完善的会展产业生态。</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——扩大国内外会展业交流合作：</w:t>
      </w:r>
      <w:r>
        <w:rPr>
          <w:rFonts w:hint="eastAsia" w:ascii="仿宋_GB2312" w:hAnsi="华文仿宋" w:eastAsia="仿宋_GB2312"/>
          <w:sz w:val="32"/>
          <w:szCs w:val="32"/>
        </w:rPr>
        <w:t>大力拓展海口本地会展企业、行业协会与国际性、区域性会展机构的合作渠道，积极参加国际性、区域性会展联盟组织，鼓励会展项目获取国际认证。着力引入高水准的国内外会展机构，带动国际性会展项目落户海口，壮大海口会展市场规模，提高办展质量、水平和效应，将会展业打造为海口市对外交往的重要名片。</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——加快智慧会展建设进程：</w:t>
      </w:r>
      <w:r>
        <w:rPr>
          <w:rFonts w:hint="eastAsia" w:ascii="仿宋_GB2312" w:hAnsi="华文仿宋" w:eastAsia="仿宋_GB2312"/>
          <w:sz w:val="32"/>
          <w:szCs w:val="32"/>
        </w:rPr>
        <w:t>积极应用新兴信息技术手段，提高会展服务、会展管理、会展活动等领域的数字化水平。积极发展以互联网为依托的新型会展业态，着力打造智慧场馆。建设“线上+线下”的智慧会展平台，推进与优势互联网企业的战略合作。</w:t>
      </w:r>
    </w:p>
    <w:p>
      <w:pPr>
        <w:spacing w:line="550" w:lineRule="exact"/>
        <w:ind w:firstLine="643" w:firstLineChars="200"/>
        <w:rPr>
          <w:rFonts w:ascii="仿宋_GB2312" w:hAnsi="华文仿宋" w:eastAsia="仿宋_GB2312"/>
          <w:b/>
          <w:bCs/>
          <w:sz w:val="32"/>
          <w:szCs w:val="32"/>
        </w:rPr>
      </w:pP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——定性目标：</w:t>
      </w:r>
      <w:r>
        <w:rPr>
          <w:rFonts w:hint="eastAsia" w:ascii="仿宋_GB2312" w:hAnsi="华文仿宋" w:eastAsia="仿宋_GB2312"/>
          <w:sz w:val="32"/>
          <w:szCs w:val="32"/>
        </w:rPr>
        <w:t>建设区域国际会展中心，打造国际化会展品牌；围绕建设国际旅游消费中心的目标，推动会展业的市场化和专业化。深化国际合作，推动海口市会展企业与国际权威会展协会组织交流合作，重点引进国内外知名展会公司入驻海口。健全现代会展业产业链，发展会展业关联的产业集群，形成配套成熟、产业联动、运行高效的现代会展业服务体系。</w:t>
      </w:r>
    </w:p>
    <w:p>
      <w:pPr>
        <w:spacing w:line="600" w:lineRule="exact"/>
        <w:ind w:firstLine="643" w:firstLineChars="200"/>
        <w:rPr>
          <w:rFonts w:ascii="仿宋_GB2312" w:hAnsi="楷体_GB2312" w:eastAsia="仿宋_GB2312" w:cs="楷体_GB2312"/>
          <w:bCs/>
          <w:sz w:val="32"/>
          <w:szCs w:val="32"/>
        </w:rPr>
      </w:pPr>
      <w:r>
        <w:rPr>
          <w:rFonts w:hint="eastAsia" w:ascii="仿宋_GB2312" w:hAnsi="华文仿宋" w:eastAsia="仿宋_GB2312"/>
          <w:b/>
          <w:bCs/>
          <w:sz w:val="32"/>
          <w:szCs w:val="32"/>
        </w:rPr>
        <w:t>——定量目标：</w:t>
      </w:r>
      <w:r>
        <w:rPr>
          <w:rFonts w:hint="eastAsia" w:ascii="仿宋_GB2312" w:hAnsi="华文仿宋" w:eastAsia="仿宋_GB2312"/>
          <w:sz w:val="32"/>
          <w:szCs w:val="32"/>
        </w:rPr>
        <w:t>2025年，现代会展业综合服务收入达到</w:t>
      </w:r>
      <w:r>
        <w:rPr>
          <w:rFonts w:ascii="仿宋_GB2312" w:hAnsi="华文仿宋" w:eastAsia="仿宋_GB2312"/>
          <w:sz w:val="32"/>
          <w:szCs w:val="32"/>
        </w:rPr>
        <w:t>250</w:t>
      </w:r>
      <w:r>
        <w:rPr>
          <w:rFonts w:hint="eastAsia" w:ascii="仿宋_GB2312" w:hAnsi="华文仿宋" w:eastAsia="仿宋_GB2312"/>
          <w:sz w:val="32"/>
          <w:szCs w:val="32"/>
        </w:rPr>
        <w:t>亿元，</w:t>
      </w:r>
      <w:r>
        <w:rPr>
          <w:rFonts w:hint="eastAsia" w:ascii="仿宋_GB2312" w:eastAsia="仿宋_GB2312" w:cs="仿宋_GB2312" w:hAnsiTheme="minorHAnsi"/>
          <w:kern w:val="0"/>
          <w:sz w:val="32"/>
          <w:szCs w:val="32"/>
        </w:rPr>
        <w:t>增加值超过</w:t>
      </w:r>
      <w:r>
        <w:rPr>
          <w:rFonts w:ascii="仿宋_GB2312" w:eastAsia="仿宋_GB2312" w:cs="仿宋_GB2312" w:hAnsiTheme="minorHAnsi"/>
          <w:kern w:val="0"/>
          <w:sz w:val="32"/>
          <w:szCs w:val="32"/>
        </w:rPr>
        <w:t>50</w:t>
      </w:r>
      <w:r>
        <w:rPr>
          <w:rFonts w:hint="eastAsia" w:ascii="仿宋_GB2312" w:eastAsia="仿宋_GB2312" w:cs="仿宋_GB2312" w:hAnsiTheme="minorHAnsi"/>
          <w:kern w:val="0"/>
          <w:sz w:val="32"/>
          <w:szCs w:val="32"/>
        </w:rPr>
        <w:t>亿元。</w:t>
      </w:r>
      <w:r>
        <w:rPr>
          <w:rFonts w:hint="eastAsia" w:ascii="仿宋_GB2312" w:hAnsi="华文仿宋" w:eastAsia="仿宋_GB2312"/>
          <w:sz w:val="32"/>
          <w:szCs w:val="32"/>
        </w:rPr>
        <w:t>全市规模以上（5000平方米以上）会展活动7</w:t>
      </w:r>
      <w:r>
        <w:rPr>
          <w:rFonts w:ascii="仿宋_GB2312" w:hAnsi="华文仿宋" w:eastAsia="仿宋_GB2312"/>
          <w:sz w:val="32"/>
          <w:szCs w:val="32"/>
        </w:rPr>
        <w:t>40</w:t>
      </w:r>
      <w:r>
        <w:rPr>
          <w:rFonts w:hint="eastAsia" w:ascii="仿宋_GB2312" w:hAnsi="华文仿宋" w:eastAsia="仿宋_GB2312"/>
          <w:sz w:val="32"/>
          <w:szCs w:val="32"/>
        </w:rPr>
        <w:t>场，展览总面积达</w:t>
      </w:r>
      <w:r>
        <w:rPr>
          <w:rFonts w:ascii="仿宋_GB2312" w:hAnsi="华文仿宋" w:eastAsia="仿宋_GB2312"/>
          <w:sz w:val="32"/>
          <w:szCs w:val="32"/>
        </w:rPr>
        <w:t>160</w:t>
      </w:r>
      <w:r>
        <w:rPr>
          <w:rFonts w:hint="eastAsia" w:ascii="仿宋_GB2312" w:hAnsi="华文仿宋" w:eastAsia="仿宋_GB2312"/>
          <w:sz w:val="32"/>
          <w:szCs w:val="32"/>
        </w:rPr>
        <w:t>万平方米。其中1万平米以上展览</w:t>
      </w:r>
      <w:r>
        <w:rPr>
          <w:rFonts w:ascii="仿宋_GB2312" w:hAnsi="华文仿宋" w:eastAsia="仿宋_GB2312"/>
          <w:sz w:val="32"/>
          <w:szCs w:val="32"/>
        </w:rPr>
        <w:t>50</w:t>
      </w:r>
      <w:r>
        <w:rPr>
          <w:rFonts w:hint="eastAsia" w:ascii="仿宋_GB2312" w:hAnsi="华文仿宋" w:eastAsia="仿宋_GB2312"/>
          <w:sz w:val="32"/>
          <w:szCs w:val="32"/>
        </w:rPr>
        <w:t>场；规模以上会议（300人）400场，1000人以上会议</w:t>
      </w:r>
      <w:r>
        <w:rPr>
          <w:rFonts w:ascii="仿宋_GB2312" w:hAnsi="华文仿宋" w:eastAsia="仿宋_GB2312"/>
          <w:sz w:val="32"/>
          <w:szCs w:val="32"/>
        </w:rPr>
        <w:t>70</w:t>
      </w:r>
      <w:r>
        <w:rPr>
          <w:rFonts w:hint="eastAsia" w:ascii="仿宋_GB2312" w:hAnsi="华文仿宋" w:eastAsia="仿宋_GB2312"/>
          <w:sz w:val="32"/>
          <w:szCs w:val="32"/>
        </w:rPr>
        <w:t>场，国际性会议</w:t>
      </w:r>
      <w:r>
        <w:rPr>
          <w:rFonts w:ascii="仿宋_GB2312" w:hAnsi="华文仿宋" w:eastAsia="仿宋_GB2312"/>
          <w:sz w:val="32"/>
          <w:szCs w:val="32"/>
        </w:rPr>
        <w:t>45</w:t>
      </w:r>
      <w:r>
        <w:rPr>
          <w:rFonts w:hint="eastAsia" w:ascii="仿宋_GB2312" w:hAnsi="华文仿宋" w:eastAsia="仿宋_GB2312"/>
          <w:sz w:val="32"/>
          <w:szCs w:val="32"/>
        </w:rPr>
        <w:t>场；U</w:t>
      </w:r>
      <w:r>
        <w:rPr>
          <w:rFonts w:ascii="仿宋_GB2312" w:hAnsi="华文仿宋" w:eastAsia="仿宋_GB2312"/>
          <w:sz w:val="32"/>
          <w:szCs w:val="32"/>
        </w:rPr>
        <w:t>FI</w:t>
      </w:r>
      <w:r>
        <w:rPr>
          <w:rFonts w:hint="eastAsia" w:ascii="仿宋_GB2312" w:hAnsi="华文仿宋" w:eastAsia="仿宋_GB2312"/>
          <w:sz w:val="32"/>
          <w:szCs w:val="32"/>
        </w:rPr>
        <w:t>认证企业达到4家，</w:t>
      </w:r>
      <w:r>
        <w:rPr>
          <w:rFonts w:ascii="仿宋_GB2312" w:hAnsi="华文仿宋" w:eastAsia="仿宋_GB2312"/>
          <w:sz w:val="32"/>
          <w:szCs w:val="32"/>
        </w:rPr>
        <w:t>ICCA</w:t>
      </w:r>
      <w:r>
        <w:rPr>
          <w:rFonts w:hint="eastAsia" w:ascii="仿宋_GB2312" w:hAnsi="华文仿宋" w:eastAsia="仿宋_GB2312"/>
          <w:sz w:val="32"/>
          <w:szCs w:val="32"/>
        </w:rPr>
        <w:t>会员企业达到8家。</w:t>
      </w:r>
      <w:r>
        <w:rPr>
          <w:rFonts w:ascii="仿宋_GB2312" w:hAnsi="楷体_GB2312" w:eastAsia="仿宋_GB2312" w:cs="楷体_GB2312"/>
          <w:bCs/>
          <w:sz w:val="32"/>
          <w:szCs w:val="32"/>
        </w:rPr>
        <w:t xml:space="preserve"> </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5</w:t>
            </w:r>
            <w:r>
              <w:rPr>
                <w:rFonts w:hint="eastAsia" w:ascii="仿宋_GB2312" w:hAnsi="仿宋" w:eastAsia="仿宋_GB2312" w:cs="仿宋"/>
                <w:b/>
                <w:bCs/>
                <w:kern w:val="0"/>
                <w:sz w:val="28"/>
                <w:szCs w:val="28"/>
                <w:shd w:val="clear" w:color="080000" w:fill="FFFFFF"/>
              </w:rPr>
              <w:t xml:space="preserve"> 现代会展业建设专项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重点打造中国国际消费品博览会：</w:t>
            </w:r>
            <w:r>
              <w:rPr>
                <w:rFonts w:hint="eastAsia" w:ascii="仿宋_GB2312" w:hAnsi="仿宋" w:eastAsia="仿宋_GB2312" w:cs="仿宋"/>
                <w:bCs/>
                <w:kern w:val="0"/>
                <w:sz w:val="24"/>
                <w:shd w:val="clear" w:color="080000" w:fill="FFFFFF"/>
              </w:rPr>
              <w:t>对标广交会、进博会等国内大型博览会，将其打造为全球知名的行业展览会。发挥国家级展会境外展品在展期内进口和销售享受免税政策优势，打造全国首个以消费精品为主题的国家级展会，形成海口独有的现代服务业标志。</w:t>
            </w:r>
          </w:p>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 xml:space="preserve">. </w:t>
            </w:r>
            <w:r>
              <w:rPr>
                <w:rFonts w:hint="eastAsia" w:ascii="仿宋_GB2312" w:hAnsi="仿宋" w:eastAsia="仿宋_GB2312" w:cs="仿宋"/>
                <w:b/>
                <w:kern w:val="0"/>
                <w:sz w:val="24"/>
                <w:shd w:val="clear" w:color="080000" w:fill="FFFFFF"/>
              </w:rPr>
              <w:t>引进国内外知名会展业品牌、机构、行业组织落户海口</w:t>
            </w:r>
            <w:r>
              <w:rPr>
                <w:rFonts w:hint="eastAsia" w:ascii="仿宋_GB2312" w:hAnsi="仿宋" w:eastAsia="仿宋_GB2312" w:cs="仿宋"/>
                <w:bCs/>
                <w:kern w:val="0"/>
                <w:sz w:val="24"/>
                <w:shd w:val="clear" w:color="080000" w:fill="FFFFFF"/>
              </w:rPr>
              <w:t>：为海口市现代会展业发展带来前沿管理技术和支持，提高海口会展国际知名度，巩固海口会展业在国内乃至全球范围内的领先地位。</w:t>
            </w:r>
          </w:p>
          <w:p>
            <w:pPr>
              <w:spacing w:line="400" w:lineRule="exact"/>
              <w:rPr>
                <w:rFonts w:ascii="仿宋_GB2312" w:hAnsi="仿宋" w:eastAsia="仿宋_GB2312" w:cs="仿宋"/>
                <w:bCs/>
                <w:kern w:val="0"/>
                <w:sz w:val="32"/>
                <w:szCs w:val="32"/>
                <w:shd w:val="clear" w:color="080000" w:fill="FFFFFF"/>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培育一批品牌展会：</w:t>
            </w:r>
            <w:r>
              <w:rPr>
                <w:rFonts w:hint="eastAsia" w:ascii="仿宋_GB2312" w:hAnsi="仿宋" w:eastAsia="仿宋_GB2312" w:cs="仿宋"/>
                <w:bCs/>
                <w:kern w:val="0"/>
                <w:sz w:val="24"/>
                <w:shd w:val="clear" w:color="080000" w:fill="FFFFFF"/>
              </w:rPr>
              <w:t>强化会展品牌意识，通过培育品牌展会来提升海口市会展业综合实力，整合会展资源，推动海口市会展市场联动发展，建立一批具有一定规模、显示行业发展动态和发展趋势、影响力较强且对行业有指导意义的品牌展览会。</w:t>
            </w:r>
          </w:p>
        </w:tc>
      </w:tr>
    </w:tbl>
    <w:p>
      <w:pPr>
        <w:spacing w:line="600" w:lineRule="exac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ab/>
      </w:r>
    </w:p>
    <w:p>
      <w:pPr>
        <w:widowControl/>
        <w:jc w:val="left"/>
        <w:rPr>
          <w:rFonts w:ascii="仿宋_GB2312" w:hAnsi="楷体_GB2312" w:eastAsia="仿宋_GB2312" w:cs="楷体_GB2312"/>
          <w:b/>
          <w:sz w:val="32"/>
          <w:szCs w:val="32"/>
        </w:rPr>
      </w:pPr>
      <w:r>
        <w:rPr>
          <w:rFonts w:hint="eastAsia" w:ascii="仿宋_GB2312" w:hAnsi="楷体_GB2312" w:eastAsia="仿宋_GB2312" w:cs="楷体_GB2312"/>
          <w:b/>
          <w:sz w:val="32"/>
          <w:szCs w:val="32"/>
        </w:rPr>
        <w:br w:type="page"/>
      </w:r>
    </w:p>
    <w:p>
      <w:pPr>
        <w:spacing w:line="600" w:lineRule="exact"/>
        <w:outlineLvl w:val="1"/>
        <w:rPr>
          <w:rFonts w:ascii="华文楷体" w:hAnsi="华文楷体" w:eastAsia="华文楷体" w:cs="楷体_GB2312"/>
          <w:b/>
          <w:sz w:val="32"/>
          <w:szCs w:val="32"/>
        </w:rPr>
      </w:pPr>
      <w:bookmarkStart w:id="18" w:name="_Toc85804157"/>
      <w:r>
        <w:rPr>
          <w:rFonts w:hint="eastAsia" w:ascii="华文楷体" w:hAnsi="华文楷体" w:eastAsia="华文楷体" w:cs="楷体_GB2312"/>
          <w:b/>
          <w:sz w:val="32"/>
          <w:szCs w:val="32"/>
        </w:rPr>
        <w:t>（二）促进科技创新，提高服务业质量</w:t>
      </w:r>
      <w:bookmarkEnd w:id="18"/>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总体方案》要求抢抓全球新一轮科技革命和产业变革重要机遇，聚焦发展旅游业、现代服务业和高新技术产业，加快培育具有海南特色的合作竞争新优势。海南省将加快推进创新型省份建设，推动海口建设高水平国家创新型城市。坚持创新在现代化建设全局中的核心地位，突出科技自立自强的战略支撑，营造具有国际竞争力的科技创新生态体系，集聚创新资源要素，融入全球创新网络，加快建设高水平创新型城市，激发创新创造活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十四五规划》要求加快现代服务业和先进制造业国际化发展，构建开放型创新体系。可见现代服务业与高新技术产业的深度融合，是推进产业转型升级的需要，是适应产业发展新趋势、提升国际竞争力的需要，是深化供给侧结构性改革、提高发展质量的需要，是适应新技术场景变化、加快产业组织变革的需要。</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高端科技研发产业、新一代软件与信息技术服务业、医疗健康产业是海口市在科技创新主题下的三大核心产业。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高端科技研发产业在“十三五”期间保持良好发展势头，成为全市经济持续发展的重要引擎，为全市和全省经济社会发展做出了积极贡献。2020年，海口市拥有市级及以上重点实验室96家（占全省比重82%），其中国家级1家、省部级60家；市级及以上工程（技术）研发中心108家（占全省比重71%），其中国家级5家、省级79家；获批省级院士创新平台98家（占全省比重71%）；各级科技创新平台达到302家。海口市拥有680家高新技术企业，占全省高企总数超过80%；其中主要分布在电子信息（47%）、高技术服务（21%）、生物医药（14%）等领域。</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新一代软件与信息技术服务业，与“数字经济”“互联网经济”发展紧密相关，在全球新一轮科技革命到来的关键时期，将引领催化各行业的变革，具有高附加值、高技术含量的特点。习近平总书记在“4·13讲话”中明确指出，要积极发展新一代信息技术产业和数字经济，推动互联网、物联网、大数据、卫星导航、人工智能同实体经济深度融合，整体提升海南综合竞争力。《海口市十四五规划》要求积极发展信息产业，大力发展各类数字经济业态，加速培育千百亿级信息产业集群。</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海口市医疗健康相关产业在“十三五”期间得到了长足发展。《总体方案》要求推动旅游与文化体育、健康医疗、养老养生等深度融合；支持海南大力引进国外优质医疗资源；支持海南建设区域医疗中心。</w:t>
      </w:r>
    </w:p>
    <w:p>
      <w:pPr>
        <w:spacing w:line="600" w:lineRule="exact"/>
        <w:ind w:firstLine="640" w:firstLineChars="200"/>
        <w:rPr>
          <w:rFonts w:ascii="仿宋_GB2312" w:eastAsia="仿宋_GB2312"/>
          <w:kern w:val="0"/>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9" w:name="_Toc85804158"/>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高端科技研发产业</w:t>
      </w:r>
      <w:bookmarkEnd w:id="19"/>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高端科技研发产业以推动产业创新升级高质量发展为核心，着力“打基础、筑平台，调结构、稳增长，促改革、推创新”，产业规模有所扩大，发展速度有所提升；研发平台、双创平台形成一定规模，营商环境持续优化；知识产权交易生态体系初步形成。</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规划期间，为达成建成高水平国家创新型城市这一目标，海口市应围绕科技创新发展战略，探索高端科技研发产业特色创新发展模式，基本实现发展动力转换和创新驱动发展，对建设现代化经济体系和高质量发展形成有力支撑。着力解决产业链上游的研发资源引入与产学研结合体系的搭建，更好地与“聚焦平台载体、提升产业能级”这一海南自贸港建设总体要求相匹配。</w:t>
      </w:r>
      <w:r>
        <w:rPr>
          <w:rFonts w:hint="eastAsia" w:ascii="仿宋_GB2312" w:hAnsi="仿宋_GB2312" w:eastAsia="仿宋_GB2312" w:cs="仿宋_GB2312"/>
          <w:sz w:val="32"/>
          <w:szCs w:val="32"/>
        </w:rPr>
        <w:t>着力培育新项目、新产业、新经济，着力营造新体制、新机制、新环境，促进高新技术产业大发展，使高新技术产业成为海口经济结构调整的主导力量和区域经济发展的重要支撑力量。</w:t>
      </w:r>
      <w:r>
        <w:rPr>
          <w:rFonts w:hint="eastAsia" w:ascii="仿宋_GB2312" w:hAnsi="楷体_GB2312" w:eastAsia="仿宋_GB2312" w:cs="楷体_GB2312"/>
          <w:bCs/>
          <w:sz w:val="32"/>
          <w:szCs w:val="32"/>
        </w:rPr>
        <w:t>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——坚持龙头企业带动科技创新：</w:t>
      </w:r>
      <w:r>
        <w:rPr>
          <w:rFonts w:hint="eastAsia" w:ascii="仿宋_GB2312" w:hAnsi="仿宋_GB2312" w:eastAsia="仿宋_GB2312" w:cs="仿宋_GB2312"/>
          <w:sz w:val="32"/>
          <w:szCs w:val="32"/>
        </w:rPr>
        <w:t>聚焦跨国公司、总部企业、行业的头部企业，重点引进处于产业供应链或技术链的关键环节的龙头企业或研发机构，落实海南省支持高新技术企业发展政策；发挥园区的主导作用，落实各园区招商引资引智任务，促进园区科技要素快速集聚和高新技术产业快速发展。</w:t>
      </w:r>
      <w:r>
        <w:rPr>
          <w:rFonts w:hint="eastAsia" w:ascii="仿宋_GB2312" w:hAnsi="楷体_GB2312" w:eastAsia="仿宋_GB2312" w:cs="楷体_GB2312"/>
          <w:bCs/>
          <w:sz w:val="32"/>
          <w:szCs w:val="32"/>
        </w:rPr>
        <w:t>加强产业链的组织能力，</w:t>
      </w:r>
      <w:r>
        <w:rPr>
          <w:rFonts w:hint="eastAsia" w:ascii="仿宋_GB2312" w:hAnsi="仿宋_GB2312" w:eastAsia="仿宋_GB2312" w:cs="仿宋_GB2312"/>
          <w:sz w:val="32"/>
          <w:szCs w:val="32"/>
        </w:rPr>
        <w:t>发展专业化配套企业，提高企业间专业化协作水平，增强产业配套能力，实现产业链的协同发展。</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——提升中小企业创新能力：</w:t>
      </w:r>
      <w:r>
        <w:rPr>
          <w:rFonts w:hint="eastAsia" w:ascii="仿宋_GB2312" w:hAnsi="仿宋_GB2312" w:eastAsia="仿宋_GB2312" w:cs="仿宋_GB2312"/>
          <w:sz w:val="32"/>
          <w:szCs w:val="32"/>
        </w:rPr>
        <w:t>构建高级别区域性科技创新综合服务平台</w:t>
      </w:r>
      <w:r>
        <w:rPr>
          <w:rFonts w:hint="eastAsia" w:ascii="仿宋_GB2312" w:hAnsi="楷体_GB2312" w:eastAsia="仿宋_GB2312" w:cs="楷体_GB2312"/>
          <w:bCs/>
          <w:sz w:val="32"/>
          <w:szCs w:val="32"/>
        </w:rPr>
        <w:t>，</w:t>
      </w:r>
      <w:r>
        <w:rPr>
          <w:rFonts w:hint="eastAsia" w:ascii="仿宋_GB2312" w:hAnsi="仿宋_GB2312" w:eastAsia="仿宋_GB2312" w:cs="仿宋_GB2312"/>
          <w:sz w:val="32"/>
          <w:szCs w:val="32"/>
        </w:rPr>
        <w:t>健全和完善面向科技型中小企业的技术服务能力，利用数字赋能，云端技术、移动互联等技术手段为中小企业提供政策咨询、认证检测、供需对接、融资咨询、院校专家资源、知识产权保护等方面的惠企服务。在金融普惠、财政补贴、融资担保等方面给予政策支持，有计划有重点地推动优质中小企业上市融资，培育科技型中小企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——打造高新技术人才集聚高地：</w:t>
      </w:r>
      <w:r>
        <w:rPr>
          <w:rFonts w:hint="eastAsia" w:ascii="仿宋_GB2312" w:hAnsi="仿宋_GB2312" w:eastAsia="仿宋_GB2312" w:cs="仿宋_GB2312"/>
          <w:sz w:val="32"/>
          <w:szCs w:val="32"/>
        </w:rPr>
        <w:t>出台海口国际离岸创新创业的便利化政策，方便海内外创新人才在海口工作旅居；支持社会资本兴办国际离岸创新驿站、青年创新创业基地、海外企业服务中心等机构，为海内外人才离岸创新创业提供便利化服务。与专业服务业协同发展，深入产业链需求，加快集聚政策法律、资产评估、信息咨询、人才培训、物业管理、仓储物流、融资担保等专业服务人才。</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——鼓励并推动科研成果转化：</w:t>
      </w:r>
      <w:r>
        <w:rPr>
          <w:rFonts w:hint="eastAsia" w:ascii="仿宋_GB2312" w:hAnsi="楷体_GB2312" w:eastAsia="仿宋_GB2312" w:cs="楷体_GB2312"/>
          <w:bCs/>
          <w:sz w:val="32"/>
          <w:szCs w:val="32"/>
        </w:rPr>
        <w:t>促进产学研结合，将具有潜在市场价值的科技研发成果通过对接资金及转化渠道等方式推向市</w:t>
      </w:r>
      <w:r>
        <w:rPr>
          <w:rFonts w:hint="eastAsia" w:ascii="仿宋_GB2312" w:hAnsi="仿宋_GB2312" w:eastAsia="仿宋_GB2312" w:cs="仿宋_GB2312"/>
          <w:sz w:val="32"/>
          <w:szCs w:val="32"/>
        </w:rPr>
        <w:t>场。面向海口市各大高校、科研机构及科技创新型企业，对标国内先进地区，制定符合海口市发展规划的科研成果转化相关激励机制。对于符合标准或做出重大贡献的个人及单位，提供直接奖励、政府引导基金股权融资或专项扶持资金等激励手段。</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——完善知识产权保护及运营服务体系：</w:t>
      </w:r>
      <w:r>
        <w:rPr>
          <w:rFonts w:hint="eastAsia" w:eastAsia="仿宋-GB2312"/>
          <w:kern w:val="0"/>
          <w:sz w:val="32"/>
          <w:szCs w:val="32"/>
        </w:rPr>
        <w:t>响应《总体方</w:t>
      </w:r>
      <w:r>
        <w:rPr>
          <w:rFonts w:hint="eastAsia" w:ascii="仿宋" w:hAnsi="仿宋" w:eastAsia="仿宋_GB2312" w:cs="仿宋"/>
          <w:sz w:val="32"/>
          <w:szCs w:val="32"/>
        </w:rPr>
        <w:t>案》中有关知识产权的保护的相关要求，制定符合海口实际的知识产权保护相关政策法规。建立健全知识产权领域市场主体信用分类监管、失信惩戒等机制。加强区块链技术在知识产权交易、存证等方面应用，探索适合海口及海南自贸港发展的新模式。大力发展知识产权中介专业服务，提高知识产权公共服务能力，创新知识产权服务范围。依托海南国际知识产权交易所，不断完善知识产权交易生态体系，打造具有全球影响力的知识产权交易和定价中心。</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——定性目标：</w:t>
      </w:r>
      <w:r>
        <w:rPr>
          <w:rFonts w:hint="eastAsia" w:ascii="仿宋_GB2312" w:hAnsi="仿宋_GB2312" w:eastAsia="仿宋_GB2312" w:cs="仿宋_GB2312"/>
          <w:sz w:val="32"/>
          <w:szCs w:val="32"/>
        </w:rPr>
        <w:t>到2025年，初步建成创新型产业体系，初步建成相对完善的知识产权运营及交易服务市场；</w:t>
      </w:r>
      <w:r>
        <w:rPr>
          <w:rFonts w:hint="eastAsia" w:ascii="仿宋_GB2312" w:hAnsi="楷体_GB2312" w:eastAsia="仿宋_GB2312" w:cs="楷体_GB2312"/>
          <w:bCs/>
          <w:sz w:val="32"/>
          <w:szCs w:val="32"/>
        </w:rPr>
        <w:t>海口国家创新型城市主要考核指标达到国家标准。</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力争到2025年，实现海口市高新技术企业数量突破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家。营业收入超过1</w:t>
      </w:r>
      <w:r>
        <w:rPr>
          <w:rFonts w:ascii="仿宋_GB2312" w:hAnsi="楷体_GB2312" w:eastAsia="仿宋_GB2312" w:cs="楷体_GB2312"/>
          <w:bCs/>
          <w:sz w:val="32"/>
          <w:szCs w:val="32"/>
        </w:rPr>
        <w:t>500</w:t>
      </w:r>
      <w:r>
        <w:rPr>
          <w:rFonts w:hint="eastAsia" w:ascii="仿宋_GB2312" w:hAnsi="楷体_GB2312" w:eastAsia="仿宋_GB2312" w:cs="楷体_GB2312"/>
          <w:bCs/>
          <w:sz w:val="32"/>
          <w:szCs w:val="32"/>
        </w:rPr>
        <w:t>亿元。</w:t>
      </w:r>
      <w:r>
        <w:rPr>
          <w:rFonts w:hint="eastAsia" w:ascii="仿宋_GB2312" w:hAnsi="仿宋_GB2312" w:eastAsia="仿宋_GB2312" w:cs="仿宋_GB2312"/>
          <w:sz w:val="32"/>
          <w:szCs w:val="32"/>
        </w:rPr>
        <w:t>引入国内大型企业集团和跨国公司在海口设立总部、区域总部或功能性总部落户达到100家，专精特新“小巨人”企业达到20家以上。构建3家科技服务业产业技术创新联盟，建设市级及以上工程（技术）研究中心和企业技术中心达到130家以上，市级及以上重点实验室达到110家以上。</w:t>
      </w:r>
      <w:r>
        <w:rPr>
          <w:rFonts w:hint="eastAsia" w:ascii="仿宋_GB2312" w:hAnsi="楷体_GB2312" w:eastAsia="仿宋_GB2312" w:cs="楷体_GB2312"/>
          <w:bCs/>
          <w:sz w:val="32"/>
          <w:szCs w:val="32"/>
        </w:rPr>
        <w:t>研发经费投入占生产总值比重达到2%，每万人口发明专利拥有量达到16 件。</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6 </w:t>
            </w:r>
            <w:r>
              <w:rPr>
                <w:rFonts w:hint="eastAsia" w:ascii="仿宋_GB2312" w:hAnsi="仿宋" w:eastAsia="仿宋_GB2312" w:cs="仿宋"/>
                <w:b/>
                <w:bCs/>
                <w:kern w:val="0"/>
                <w:sz w:val="28"/>
                <w:szCs w:val="28"/>
                <w:shd w:val="clear" w:color="080000" w:fill="FFFFFF"/>
              </w:rPr>
              <w:t>高端科技研发产业建设专项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2"/>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研究策划科技研发应用示范工程：</w:t>
            </w:r>
            <w:r>
              <w:rPr>
                <w:rFonts w:hint="eastAsia" w:ascii="仿宋_GB2312" w:hAnsi="仿宋" w:eastAsia="仿宋_GB2312" w:cs="仿宋"/>
                <w:bCs/>
                <w:kern w:val="0"/>
                <w:sz w:val="24"/>
                <w:shd w:val="clear" w:color="080000" w:fill="FFFFFF"/>
              </w:rPr>
              <w:t>通过以商招商、以市场换产业的形式，吸引国内外大型科技企业集团至海口，推动科技研发应用示范工程落地。</w:t>
            </w:r>
          </w:p>
          <w:p>
            <w:pPr>
              <w:spacing w:line="276" w:lineRule="auto"/>
              <w:ind w:firstLine="482"/>
              <w:rPr>
                <w:sz w:val="28"/>
                <w:szCs w:val="28"/>
                <w:shd w:val="clear" w:color="080000" w:fill="FFFFFF"/>
              </w:rPr>
            </w:pPr>
            <w:r>
              <w:rPr>
                <w:rFonts w:ascii="仿宋_GB2312" w:hAnsi="仿宋" w:eastAsia="仿宋_GB2312" w:cs="仿宋"/>
                <w:b/>
                <w:kern w:val="0"/>
                <w:sz w:val="24"/>
                <w:shd w:val="clear" w:color="080000" w:fill="FFFFFF"/>
              </w:rPr>
              <w:t xml:space="preserve">2. </w:t>
            </w:r>
            <w:r>
              <w:rPr>
                <w:rFonts w:hint="eastAsia" w:ascii="仿宋_GB2312" w:hAnsi="仿宋" w:eastAsia="仿宋_GB2312" w:cs="仿宋"/>
                <w:b/>
                <w:kern w:val="0"/>
                <w:sz w:val="24"/>
                <w:shd w:val="clear" w:color="080000" w:fill="FFFFFF"/>
              </w:rPr>
              <w:t>推动建设国家级创新型研发主体：</w:t>
            </w:r>
            <w:r>
              <w:rPr>
                <w:rFonts w:hint="eastAsia" w:ascii="仿宋_GB2312" w:hAnsi="仿宋" w:eastAsia="仿宋_GB2312" w:cs="仿宋"/>
                <w:bCs/>
                <w:kern w:val="0"/>
                <w:sz w:val="24"/>
                <w:shd w:val="clear" w:color="080000" w:fill="FFFFFF"/>
              </w:rPr>
              <w:t>创建国家重点实验室，通过政企共建、校企共建等形式创建新型研发主体，形成以国家级重大科技创新平台、省市重点实验室、企业实验室等为节点构建的研发平台体系。</w:t>
            </w:r>
          </w:p>
        </w:tc>
      </w:tr>
    </w:tbl>
    <w:p>
      <w:pPr>
        <w:spacing w:line="600" w:lineRule="exact"/>
        <w:ind w:firstLine="643" w:firstLineChars="200"/>
        <w:outlineLvl w:val="2"/>
        <w:rPr>
          <w:rFonts w:ascii="仿宋_GB2312" w:hAnsi="楷体_GB2312" w:eastAsia="仿宋_GB2312" w:cs="楷体_GB2312"/>
          <w:b/>
          <w:sz w:val="32"/>
          <w:szCs w:val="32"/>
        </w:rPr>
      </w:pPr>
      <w:bookmarkStart w:id="20" w:name="_Toc85804159"/>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新一代软件与信息技术服务业</w:t>
      </w:r>
      <w:bookmarkEnd w:id="20"/>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“十三五”期间，海口市新一代软件与信息技术服务业快速壮大，得益于龙头企业带动和产业聚集区的不断完善，国内互联网巨头纷纷布局海南。2020年，海口市互联网产业完成增加值155.69亿元，比上年增长</w:t>
      </w:r>
      <w:r>
        <w:rPr>
          <w:rFonts w:ascii="仿宋_GB2312" w:hAnsi="楷体_GB2312" w:eastAsia="仿宋_GB2312" w:cs="楷体_GB2312"/>
          <w:bCs/>
          <w:sz w:val="32"/>
          <w:szCs w:val="32"/>
        </w:rPr>
        <w:t>38.7</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按照“智慧海南”建设的总体安排，海口市将依托自贸港建设逐步完善基础网络条件，发挥海南国际互联网业务开放和信息服务的便利，结合海口市链接国内应用市场和国际货物进口免税政策的特点，重点发展智能物联、区块链、大数据、人工智能、5G等与</w:t>
      </w:r>
      <w:r>
        <w:rPr>
          <w:rFonts w:hint="eastAsia" w:ascii="仿宋_GB2312" w:hAnsi="仿宋_GB2312" w:eastAsia="仿宋_GB2312" w:cs="仿宋_GB2312"/>
          <w:sz w:val="32"/>
          <w:szCs w:val="32"/>
        </w:rPr>
        <w:t>数字经济相关的产业，培育和建设产业链完善、创新能力强的数字产业园区，打造我国数字经济发展示范区和海南自由贸易港数字经济发展核心区。主要发展思路包括：</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加大新一代信息技术基础设施平台的建设力度</w:t>
      </w:r>
      <w:r>
        <w:rPr>
          <w:rFonts w:hint="eastAsia" w:ascii="仿宋_GB2312" w:hAnsi="楷体_GB2312" w:eastAsia="仿宋_GB2312" w:cs="楷体_GB2312"/>
          <w:b/>
          <w:sz w:val="32"/>
          <w:szCs w:val="32"/>
        </w:rPr>
        <w:t>：</w:t>
      </w:r>
      <w:r>
        <w:rPr>
          <w:rFonts w:hint="eastAsia" w:ascii="仿宋_GB2312" w:hAnsi="仿宋_GB2312" w:eastAsia="仿宋_GB2312" w:cs="仿宋_GB2312"/>
          <w:sz w:val="32"/>
          <w:szCs w:val="32"/>
        </w:rPr>
        <w:t>依托海南省数据中心建设，完善国际互联网数据专用通道园区接入和覆盖范围，提供高带宽、高可靠、高安全、低时延的跨境数据交互服务，营造国内一流的信息产业发展硬件环境。争取大区级、国家级或国际区域级的数据中心项目落户海口。推动5</w:t>
      </w:r>
      <w:r>
        <w:rPr>
          <w:rFonts w:ascii="仿宋_GB2312" w:hAnsi="仿宋_GB2312" w:eastAsia="仿宋_GB2312" w:cs="仿宋_GB2312"/>
          <w:sz w:val="32"/>
          <w:szCs w:val="32"/>
        </w:rPr>
        <w:t>G</w:t>
      </w:r>
      <w:r>
        <w:rPr>
          <w:rFonts w:hint="eastAsia" w:ascii="仿宋_GB2312" w:hAnsi="仿宋_GB2312" w:eastAsia="仿宋_GB2312" w:cs="仿宋_GB2312"/>
          <w:sz w:val="32"/>
          <w:szCs w:val="32"/>
        </w:rPr>
        <w:t>通讯技术等信息技术基础设施完成建设与落地。</w:t>
      </w:r>
    </w:p>
    <w:p>
      <w:pPr>
        <w:spacing w:line="600" w:lineRule="exact"/>
        <w:ind w:firstLine="643" w:firstLineChars="200"/>
        <w:rPr>
          <w:rFonts w:ascii="仿宋" w:hAnsi="仿宋" w:eastAsia="仿宋_GB2312" w:cs="仿宋"/>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大力扶持信息技术类中小微企业发展</w:t>
      </w:r>
      <w:r>
        <w:rPr>
          <w:rFonts w:hint="eastAsia" w:ascii="仿宋" w:hAnsi="仿宋" w:eastAsia="仿宋_GB2312" w:cs="仿宋"/>
          <w:b/>
          <w:bCs/>
          <w:sz w:val="32"/>
          <w:szCs w:val="32"/>
        </w:rPr>
        <w:t>：</w:t>
      </w:r>
      <w:r>
        <w:rPr>
          <w:rFonts w:hint="eastAsia" w:ascii="仿宋_GB2312" w:hAnsi="仿宋_GB2312" w:eastAsia="仿宋_GB2312" w:cs="仿宋_GB2312"/>
          <w:sz w:val="32"/>
          <w:szCs w:val="32"/>
        </w:rPr>
        <w:t>培育和招引一批数字经济领域“独角兽”企业，孵化和培育一批数字产业方向的中小微企业，提升本地互联网产业活力。搭建数字产业创新创业服务平台，优化产业发展鼓励机制，为海口发展互联网及新一代信息技术产业提供必要的人才、技术与资金支持。着眼于整体产业链布局完善度，吸引互联网及新一代信息技术产业链上下游企业入驻海口，完善新一代信息技术产业链条。</w:t>
      </w:r>
    </w:p>
    <w:p>
      <w:pPr>
        <w:spacing w:line="600" w:lineRule="exact"/>
        <w:ind w:firstLine="643" w:firstLineChars="200"/>
        <w:rPr>
          <w:rFonts w:ascii="仿宋_GB2312" w:hAnsi="仿宋_GB2312" w:eastAsia="仿宋_GB2312" w:cs="仿宋_GB2312"/>
          <w:sz w:val="32"/>
          <w:szCs w:val="32"/>
        </w:rPr>
      </w:pPr>
      <w:r>
        <w:rPr>
          <w:rFonts w:hint="eastAsia" w:ascii="仿宋" w:hAnsi="仿宋" w:eastAsia="仿宋_GB2312" w:cs="仿宋"/>
          <w:b/>
          <w:bCs/>
          <w:sz w:val="32"/>
          <w:szCs w:val="32"/>
        </w:rPr>
        <w:t>——开展大数据创新应用：</w:t>
      </w:r>
      <w:r>
        <w:rPr>
          <w:rFonts w:hint="eastAsia" w:ascii="仿宋_GB2312" w:hAnsi="仿宋_GB2312" w:eastAsia="仿宋_GB2312" w:cs="仿宋_GB2312"/>
          <w:sz w:val="32"/>
          <w:szCs w:val="32"/>
        </w:rPr>
        <w:t>建设海口“城市大脑”，搭建面向国际、数据开放和数据安全有序流动的各类服务平台，服务于政务和行业大数据分析和应用、跨境数据监管与治理、安全服务等领域。推进大数据与传统行业和新兴产业的融合，包括金融、海关、航空、物流等领域的升级改造与创新应用。鼓励企业参与大数据软硬件产品开发和运维服务，开发大数据安全标准和评估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——赋能智慧零售及电商：</w:t>
      </w:r>
      <w:r>
        <w:rPr>
          <w:rFonts w:hint="eastAsia" w:ascii="仿宋_GB2312" w:hAnsi="仿宋_GB2312" w:eastAsia="仿宋_GB2312" w:cs="仿宋_GB2312"/>
          <w:sz w:val="32"/>
          <w:szCs w:val="32"/>
        </w:rPr>
        <w:t>围绕国际旅游消费中心城市场景，对接各零售电商服务主体，推广全岛统一消费积分服务，引导数字贸易消费；打造国际高端消费5G数字孪生免税店，支持传统企业商务服务数字化；运用物联网和云平台技术，增强农业电商在国际农资、农产品和食材仓储和配送等领域的能力；开发面向贸易自由便利的数字监管技术，完善电商交易平台和支付功能，完善数据推送和文档存储技术集成等贸易数字化技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——以智能城市、智能物联为抓手推动产业发展：</w:t>
      </w:r>
      <w:r>
        <w:rPr>
          <w:rFonts w:hint="eastAsia" w:ascii="仿宋_GB2312" w:hAnsi="仿宋_GB2312" w:eastAsia="仿宋_GB2312" w:cs="仿宋_GB2312"/>
          <w:sz w:val="32"/>
          <w:szCs w:val="32"/>
        </w:rPr>
        <w:t>聚焦智慧城市建设的重点领域，开展城市智能化应用，提升政府公共服务效能。以数字化转型和智慧海南建设激励和推动我市传统企业升级，支持工业企业对内部网络进行改造，构建企业高性能、高可靠性的物联网平台基础设施。布局打造海口工业互联网平台，培育物联网技术创新开源环境，逐步形成面向自贸港需求的软件开发创新生态。</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建设国家区块链技术和产业创新发展基地；加快推进</w:t>
      </w:r>
      <w:r>
        <w:rPr>
          <w:rFonts w:hint="eastAsia" w:ascii="仿宋_GB2312" w:hAnsi="仿宋_GB2312" w:eastAsia="仿宋_GB2312" w:cs="仿宋_GB2312"/>
          <w:sz w:val="32"/>
          <w:szCs w:val="32"/>
        </w:rPr>
        <w:t>复兴城互联网信息产业园</w:t>
      </w:r>
      <w:r>
        <w:rPr>
          <w:rFonts w:hint="eastAsia" w:ascii="仿宋_GB2312" w:hAnsi="楷体_GB2312" w:eastAsia="仿宋_GB2312" w:cs="楷体_GB2312"/>
          <w:bCs/>
          <w:sz w:val="32"/>
          <w:szCs w:val="32"/>
        </w:rPr>
        <w:t>建设，带动互联网产业发展。开放增值电信业务，开展在线数据处理与交易处理等业务，安全有序开放基础电信业，开展国际互联网数据交互试点。按照《总体方案》，以人工智能、区块链、物联网、数字贸易为重点信息产业，争取在实践中形成具有领先优势的产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到2025年，实现增加值达到</w:t>
      </w:r>
      <w:r>
        <w:rPr>
          <w:rFonts w:ascii="仿宋_GB2312" w:hAnsi="楷体_GB2312" w:eastAsia="仿宋_GB2312" w:cs="楷体_GB2312"/>
          <w:bCs/>
          <w:sz w:val="32"/>
          <w:szCs w:val="32"/>
        </w:rPr>
        <w:t>560</w:t>
      </w:r>
      <w:r>
        <w:rPr>
          <w:rFonts w:hint="eastAsia" w:ascii="仿宋_GB2312" w:hAnsi="楷体_GB2312" w:eastAsia="仿宋_GB2312" w:cs="楷体_GB2312"/>
          <w:bCs/>
          <w:sz w:val="32"/>
          <w:szCs w:val="32"/>
        </w:rPr>
        <w:t>亿元，年均增速</w:t>
      </w:r>
      <w:r>
        <w:rPr>
          <w:rFonts w:ascii="仿宋_GB2312" w:hAnsi="楷体_GB2312" w:eastAsia="仿宋_GB2312" w:cs="楷体_GB2312"/>
          <w:bCs/>
          <w:sz w:val="32"/>
          <w:szCs w:val="32"/>
        </w:rPr>
        <w:t>30</w:t>
      </w:r>
      <w:r>
        <w:rPr>
          <w:rFonts w:hint="eastAsia" w:ascii="仿宋_GB2312" w:hAnsi="楷体_GB2312" w:eastAsia="仿宋_GB2312" w:cs="楷体_GB2312"/>
          <w:bCs/>
          <w:sz w:val="32"/>
          <w:szCs w:val="32"/>
        </w:rPr>
        <w:t>%以上。培育独角兽企业2家，50亿元级2家，30亿元级4家。打造至少一家企业跻身全国互联网企业百强。</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7 </w:t>
            </w:r>
            <w:r>
              <w:rPr>
                <w:rFonts w:hint="eastAsia" w:ascii="仿宋_GB2312" w:hAnsi="仿宋" w:eastAsia="仿宋_GB2312" w:cs="仿宋"/>
                <w:b/>
                <w:bCs/>
                <w:kern w:val="0"/>
                <w:sz w:val="28"/>
                <w:szCs w:val="28"/>
                <w:shd w:val="clear" w:color="080000" w:fill="FFFFFF"/>
              </w:rPr>
              <w:t>新一代软件与信息技术服务业建设专项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1. 打造海口互联网与信息技术产业标杆企业：</w:t>
            </w:r>
            <w:r>
              <w:rPr>
                <w:rFonts w:hint="eastAsia" w:ascii="仿宋_GB2312" w:hAnsi="仿宋" w:eastAsia="仿宋_GB2312" w:cs="仿宋"/>
                <w:bCs/>
                <w:kern w:val="0"/>
                <w:sz w:val="24"/>
                <w:shd w:val="clear" w:color="080000" w:fill="FFFFFF"/>
              </w:rPr>
              <w:t>在互联网应用、跨境电商、大数据、5G、人工智能、物联网、区块链行业发掘、培育、扶持、助推优质海口本地科技企业做大做强，跻身行业领先行列。</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推动5</w:t>
            </w:r>
            <w:r>
              <w:rPr>
                <w:rFonts w:ascii="仿宋_GB2312" w:hAnsi="仿宋" w:eastAsia="仿宋_GB2312" w:cs="仿宋"/>
                <w:b/>
                <w:kern w:val="0"/>
                <w:sz w:val="24"/>
                <w:shd w:val="clear" w:color="080000" w:fill="FFFFFF"/>
              </w:rPr>
              <w:t>G</w:t>
            </w:r>
            <w:r>
              <w:rPr>
                <w:rFonts w:hint="eastAsia" w:ascii="仿宋_GB2312" w:hAnsi="仿宋" w:eastAsia="仿宋_GB2312" w:cs="仿宋"/>
                <w:b/>
                <w:kern w:val="0"/>
                <w:sz w:val="24"/>
                <w:shd w:val="clear" w:color="080000" w:fill="FFFFFF"/>
              </w:rPr>
              <w:t>技术的有序落地：</w:t>
            </w:r>
            <w:r>
              <w:rPr>
                <w:rFonts w:hint="eastAsia" w:ascii="仿宋_GB2312" w:hAnsi="仿宋" w:eastAsia="仿宋_GB2312" w:cs="仿宋"/>
                <w:bCs/>
                <w:kern w:val="0"/>
                <w:sz w:val="24"/>
                <w:shd w:val="clear" w:color="080000" w:fill="FFFFFF"/>
              </w:rPr>
              <w:t>积极推进5G应用示范，使</w:t>
            </w:r>
            <w:r>
              <w:rPr>
                <w:rFonts w:ascii="仿宋_GB2312" w:hAnsi="仿宋" w:eastAsia="仿宋_GB2312" w:cs="仿宋"/>
                <w:bCs/>
                <w:kern w:val="0"/>
                <w:sz w:val="24"/>
                <w:shd w:val="clear" w:color="080000" w:fill="FFFFFF"/>
              </w:rPr>
              <w:t>5G创新和应用在各行业领域形成示范效应</w:t>
            </w:r>
            <w:r>
              <w:rPr>
                <w:rFonts w:hint="eastAsia" w:ascii="仿宋_GB2312" w:hAnsi="仿宋" w:eastAsia="仿宋_GB2312" w:cs="仿宋"/>
                <w:bCs/>
                <w:kern w:val="0"/>
                <w:sz w:val="24"/>
                <w:shd w:val="clear" w:color="080000" w:fill="FFFFFF"/>
              </w:rPr>
              <w:t>。</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p>
    <w:p>
      <w:pPr>
        <w:widowControl/>
        <w:ind w:firstLine="643" w:firstLineChars="200"/>
        <w:jc w:val="left"/>
        <w:outlineLvl w:val="2"/>
        <w:rPr>
          <w:rFonts w:ascii="仿宋_GB2312" w:hAnsi="楷体_GB2312" w:eastAsia="仿宋_GB2312" w:cs="楷体_GB2312"/>
          <w:b/>
          <w:sz w:val="32"/>
          <w:szCs w:val="32"/>
        </w:rPr>
      </w:pPr>
      <w:bookmarkStart w:id="21" w:name="_Toc85804160"/>
      <w:r>
        <w:rPr>
          <w:rFonts w:ascii="仿宋_GB2312" w:hAnsi="楷体_GB2312" w:eastAsia="仿宋_GB2312" w:cs="楷体_GB2312"/>
          <w:b/>
          <w:sz w:val="32"/>
          <w:szCs w:val="32"/>
        </w:rPr>
        <w:t xml:space="preserve">3. </w:t>
      </w:r>
      <w:r>
        <w:rPr>
          <w:rFonts w:hint="eastAsia" w:ascii="仿宋_GB2312" w:hAnsi="楷体_GB2312" w:eastAsia="仿宋_GB2312" w:cs="楷体_GB2312"/>
          <w:b/>
          <w:sz w:val="32"/>
          <w:szCs w:val="32"/>
        </w:rPr>
        <w:t>医疗健康产业</w:t>
      </w:r>
      <w:bookmarkEnd w:id="21"/>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引入一批优质医疗资源落地海口，医疗服务水平大幅提升。依托海口市“黎药”“南药”“海洋生物药”等特色资源，医药研发业快速发展；依托富硒、海洋、热带景观等自然禀赋，康养旅居产业也同样取得了长足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在“十四五”期间，海口市发展医疗健康产业，应</w:t>
      </w:r>
      <w:r>
        <w:rPr>
          <w:rFonts w:hint="eastAsia" w:ascii="仿宋_GB2312" w:hAnsi="仿宋_GB2312" w:eastAsia="仿宋_GB2312" w:cs="仿宋_GB2312"/>
          <w:sz w:val="32"/>
          <w:szCs w:val="32"/>
        </w:rPr>
        <w:t>充分发挥海口医药产业基础实力和药谷的集聚优势，统筹运用好海南自贸港政策红利，推动海口医药企业创新升级；</w:t>
      </w:r>
      <w:r>
        <w:rPr>
          <w:rFonts w:hint="eastAsia" w:ascii="仿宋_GB2312" w:hAnsi="楷体_GB2312" w:eastAsia="仿宋_GB2312" w:cs="楷体_GB2312"/>
          <w:bCs/>
          <w:sz w:val="32"/>
          <w:szCs w:val="32"/>
        </w:rPr>
        <w:t>通过扩大医疗健康市场对外开放，引进国外医疗健康先进经验与资源；通过整合医药、医疗、康养等资源，打造海口市医疗健康一站式服务中心，提升行业发展水平。主要发展思路包括：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——推动医疗健康产业与旅游产业融合发展：</w:t>
      </w:r>
      <w:r>
        <w:rPr>
          <w:rFonts w:hint="eastAsia" w:ascii="仿宋_GB2312" w:hAnsi="楷体_GB2312" w:eastAsia="仿宋_GB2312" w:cs="楷体_GB2312"/>
          <w:bCs/>
          <w:sz w:val="32"/>
          <w:szCs w:val="32"/>
        </w:rPr>
        <w:t>充分利用海南自贸港建设政策红利，坚持生态优先、绿色发展，围绕国际旅游消费中心建设，推动旅游与文化体育、健康医疗、养老养生等深度融合。发展海口特色健康旅游产业，充分发挥海口海洋景观、火山口生态、红树林植被，及南药黎药等要素，建设一批康复疗养、养老养生与特殊护理的健康旅游项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——引入高水平国际医药医疗项目：</w:t>
      </w:r>
      <w:r>
        <w:rPr>
          <w:rFonts w:hint="eastAsia" w:ascii="仿宋_GB2312" w:hAnsi="楷体_GB2312" w:eastAsia="仿宋_GB2312" w:cs="楷体_GB2312"/>
          <w:bCs/>
          <w:sz w:val="32"/>
          <w:szCs w:val="32"/>
        </w:rPr>
        <w:t>以海口主城区密集的医疗服务创新资源、较为完善的基础设施和公共服务环境为依托，引进高端精品医院、医学院校、医药研发机构、药食同源研发机构，走产学研一体化发展道路，构建国际医药健康产业集群，关联发展“医养结合”、高端医疗旅游等业态。在上述项目的产业项目立项、建设用地指标、科研平台搭建、高新企业认定、税费减免、资金扶持等方面出台扶持政策。</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——推动医药产业向高端研发延伸：</w:t>
      </w:r>
      <w:r>
        <w:rPr>
          <w:rFonts w:hint="eastAsia" w:ascii="仿宋_GB2312" w:hAnsi="楷体_GB2312" w:eastAsia="仿宋_GB2312" w:cs="楷体_GB2312"/>
          <w:bCs/>
          <w:sz w:val="32"/>
          <w:szCs w:val="32"/>
        </w:rPr>
        <w:t>发挥现有</w:t>
      </w:r>
      <w:r>
        <w:rPr>
          <w:rFonts w:hint="eastAsia" w:ascii="仿宋_GB2312" w:hAnsi="仿宋_GB2312" w:eastAsia="仿宋_GB2312" w:cs="仿宋_GB2312"/>
          <w:sz w:val="32"/>
          <w:szCs w:val="32"/>
        </w:rPr>
        <w:t>医药高新企业集聚优势，加快现有医药产业向高端化学制剂药、生物药、现代中药、诊断制剂等方向升级延伸；鼓励研究和产业化一批具有技术门槛、高附加值的制剂产品；重视创新药、高端仿制药、首仿药、附加值高的特色原料药和专利药原料药的研发、临床和生产技术；鼓励对南药黎药名医名方、名老中医验方、中药新药和中药新剂型的研究开发，对中药传统制剂进行二次开发，提升南药黎药品牌档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——打造医疗健康产业聚合发展地：</w:t>
      </w:r>
      <w:r>
        <w:rPr>
          <w:rFonts w:hint="eastAsia" w:ascii="仿宋_GB2312" w:hAnsi="楷体_GB2312" w:eastAsia="仿宋_GB2312" w:cs="楷体_GB2312"/>
          <w:bCs/>
          <w:sz w:val="32"/>
          <w:szCs w:val="32"/>
        </w:rPr>
        <w:t>优化医疗健康产业发展空间布局，推动产业聚集、融合、协同发展。在高端医疗、医疗旅游、康养旅居领域提前布局，通过出台专项政策鼓励医疗健康相关产业集聚发展，将海口市建设成为服务全岛的区域医疗中心。加快技术创新，打造“智慧医疗、智慧康养、智慧旅居”产业链，实现健康产业的跨越式发展。</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建立起体系完整、结构优化、满足全人群和全生命周期需求的健康产业体系。集聚一批具有国际、国内竞争力的领军企业、创新机构，打造一批全国领先的健康产业企业和知名品牌，海口健康产业的影响力和竞争力进一步提升，打造“全球康养旅居之都”。</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到2025年，力争医疗健康产业增加值达到</w:t>
      </w:r>
      <w:r>
        <w:rPr>
          <w:rFonts w:ascii="仿宋_GB2312" w:hAnsi="楷体_GB2312" w:eastAsia="仿宋_GB2312" w:cs="楷体_GB2312"/>
          <w:bCs/>
          <w:sz w:val="32"/>
          <w:szCs w:val="32"/>
        </w:rPr>
        <w:t>180</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9.4</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8 </w:t>
            </w:r>
            <w:r>
              <w:rPr>
                <w:rFonts w:hint="eastAsia" w:ascii="仿宋_GB2312" w:hAnsi="仿宋" w:eastAsia="仿宋_GB2312" w:cs="仿宋"/>
                <w:b/>
                <w:bCs/>
                <w:kern w:val="0"/>
                <w:sz w:val="28"/>
                <w:szCs w:val="28"/>
                <w:shd w:val="clear" w:color="080000" w:fill="FFFFFF"/>
              </w:rPr>
              <w:t>医疗健康产业建设专项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引入国内外知名医疗健康主体进驻海口：</w:t>
            </w:r>
            <w:r>
              <w:rPr>
                <w:rFonts w:hint="eastAsia" w:ascii="仿宋_GB2312" w:hAnsi="仿宋" w:eastAsia="仿宋_GB2312" w:cs="仿宋"/>
                <w:bCs/>
                <w:kern w:val="0"/>
                <w:sz w:val="24"/>
                <w:shd w:val="clear" w:color="080000" w:fill="FFFFFF"/>
              </w:rPr>
              <w:t>通过加强对外开放力度，吸引国内外社会资本参与建设海南自贸港医疗健康产业，提升医疗技术水平，提高医疗健康资源供给质量。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开发跨境医疗保险产品：</w:t>
            </w:r>
            <w:r>
              <w:rPr>
                <w:rFonts w:hint="eastAsia" w:ascii="仿宋_GB2312" w:hAnsi="仿宋" w:eastAsia="仿宋_GB2312" w:cs="仿宋"/>
                <w:bCs/>
                <w:kern w:val="0"/>
                <w:sz w:val="24"/>
                <w:shd w:val="clear" w:color="080000" w:fill="FFFFFF"/>
              </w:rPr>
              <w:t>建立与国际商业保险付费体系相衔接的商业性医疗保险服务，力争由海口市率先推动落实保险业金融机构与境外机构合作开发跨境医疗保险产品的相关举措。</w:t>
            </w:r>
          </w:p>
          <w:p>
            <w:pPr>
              <w:spacing w:line="400" w:lineRule="exact"/>
              <w:ind w:firstLine="480" w:firstLineChars="200"/>
              <w:jc w:val="left"/>
              <w:rPr>
                <w:rFonts w:ascii="仿宋_GB2312" w:hAnsi="仿宋" w:eastAsia="仿宋_GB2312" w:cs="仿宋"/>
                <w:bCs/>
                <w:kern w:val="0"/>
                <w:sz w:val="24"/>
                <w:shd w:val="clear" w:color="080000" w:fill="FFFFFF"/>
              </w:rPr>
            </w:pPr>
          </w:p>
        </w:tc>
      </w:tr>
    </w:tbl>
    <w:p>
      <w:pPr>
        <w:spacing w:line="600" w:lineRule="exact"/>
        <w:ind w:firstLine="420"/>
        <w:rPr>
          <w:rFonts w:ascii="仿宋_GB2312" w:hAnsi="楷体_GB2312" w:eastAsia="仿宋_GB2312" w:cs="楷体_GB2312"/>
          <w:bCs/>
          <w:sz w:val="32"/>
          <w:szCs w:val="32"/>
        </w:rPr>
      </w:pPr>
    </w:p>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outlineLvl w:val="1"/>
        <w:rPr>
          <w:rFonts w:ascii="华文楷体" w:hAnsi="华文楷体" w:eastAsia="华文楷体" w:cs="楷体_GB2312"/>
          <w:b/>
          <w:sz w:val="32"/>
          <w:szCs w:val="32"/>
        </w:rPr>
      </w:pPr>
      <w:bookmarkStart w:id="22" w:name="_Toc85804161"/>
      <w:r>
        <w:rPr>
          <w:rFonts w:hint="eastAsia" w:ascii="华文楷体" w:hAnsi="华文楷体" w:eastAsia="华文楷体" w:cs="楷体_GB2312"/>
          <w:b/>
          <w:sz w:val="32"/>
          <w:szCs w:val="32"/>
        </w:rPr>
        <w:t>（三）打造人才高地，夯实服务业基础</w:t>
      </w:r>
      <w:bookmarkEnd w:id="22"/>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的现代服务业发展高度依赖专业人才的引入与培育。其中高端商务与专业服务业容纳与吸引大量高层次人才，而现代教育产业则能从根本上长远改变区域内人才的供应数量及质量。为此，海口市重点发展高端商务与专业服务业及现代教育产业。</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23" w:name="_Toc85804162"/>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高端商务与专业服务业</w:t>
      </w:r>
      <w:bookmarkEnd w:id="23"/>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《海口市十四五规划》要求到2</w:t>
      </w:r>
      <w:r>
        <w:rPr>
          <w:rFonts w:ascii="仿宋_GB2312" w:hAnsi="楷体_GB2312" w:eastAsia="仿宋_GB2312" w:cs="楷体_GB2312"/>
          <w:bCs/>
          <w:sz w:val="32"/>
          <w:szCs w:val="32"/>
        </w:rPr>
        <w:t>025</w:t>
      </w:r>
      <w:r>
        <w:rPr>
          <w:rFonts w:hint="eastAsia" w:ascii="仿宋_GB2312" w:hAnsi="楷体_GB2312" w:eastAsia="仿宋_GB2312" w:cs="楷体_GB2312"/>
          <w:bCs/>
          <w:sz w:val="32"/>
          <w:szCs w:val="32"/>
        </w:rPr>
        <w:t>年，引入高层次人才1</w:t>
      </w:r>
      <w:r>
        <w:rPr>
          <w:rFonts w:ascii="仿宋_GB2312" w:hAnsi="楷体_GB2312" w:eastAsia="仿宋_GB2312" w:cs="楷体_GB2312"/>
          <w:bCs/>
          <w:sz w:val="32"/>
          <w:szCs w:val="32"/>
        </w:rPr>
        <w:t>.2</w:t>
      </w:r>
      <w:r>
        <w:rPr>
          <w:rFonts w:hint="eastAsia" w:ascii="仿宋_GB2312" w:hAnsi="楷体_GB2312" w:eastAsia="仿宋_GB2312" w:cs="楷体_GB2312"/>
          <w:bCs/>
          <w:sz w:val="32"/>
          <w:szCs w:val="32"/>
        </w:rPr>
        <w:t>万人。对人才的要求是多来源、多领域的，包括欧美日韩以及港澳台地区的法律、会计、审计、战略规划、营销策划、信用评估、商务咨询等专业服务人才；及海洋旅游、生态旅游、文化旅游、高尔夫旅游、会展旅游、邮轮游艇旅游、康疗保健旅游等国际化专业人才；及独立设计师品牌、大师工作室、艺术研究机构与时尚营销机构等可助力时尚传播、消费的人才与机构。</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发展高端商务与专业服务业，需以高水平、专业化发展为侧重点，加大力度引进、培育符合自贸港特点的相关产业，提升行业发展水平，为海口市社会经济实现高质量发展提供有力的保障。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——科学规划、完善配套，助力高端商务服务业发展：</w:t>
      </w:r>
      <w:r>
        <w:rPr>
          <w:rFonts w:hint="eastAsia" w:ascii="仿宋_GB2312" w:hAnsi="楷体_GB2312" w:eastAsia="仿宋_GB2312" w:cs="楷体_GB2312"/>
          <w:bCs/>
          <w:sz w:val="32"/>
          <w:szCs w:val="32"/>
        </w:rPr>
        <w:t>梳理海口市高端商务业发展实际情况，制定可落地的招引目标清单；积极发挥政策导向作用，通过政府有效运作，力争引导高端商务服务业集聚发展；高标准引进开发商、建筑商和物业管理公司，加强楼宇周边环境的建设和整治，完善商务配套设施，提供较好的软硬件环境。</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——多业态并举，加快国际设计岛建设：</w:t>
      </w:r>
      <w:r>
        <w:rPr>
          <w:rFonts w:hint="eastAsia" w:ascii="仿宋_GB2312" w:hAnsi="楷体_GB2312" w:eastAsia="仿宋_GB2312" w:cs="楷体_GB2312"/>
          <w:bCs/>
          <w:sz w:val="32"/>
          <w:szCs w:val="32"/>
        </w:rPr>
        <w:t>海南国际设计岛是《总体方案》的明确要求。以建筑艺术设计、工业设计、影视艺术设计、奢侈品时尚设计、服装时尚设计五大版块为核心，形成全设计产业链。重点招引国际建筑事务所、工业设计企业、奢侈品运营及鉴定机构、时尚原创设计师等在产业链上具有话语权的龙头企业，逐步完善设计上下游产业链，推动设计与海南自贸港各类建设项目紧密结合。</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——填补空白、精准引入，提振专业服务业发展：</w:t>
      </w:r>
      <w:r>
        <w:rPr>
          <w:rFonts w:hint="eastAsia" w:ascii="仿宋_GB2312" w:hAnsi="楷体_GB2312" w:eastAsia="仿宋_GB2312" w:cs="楷体_GB2312"/>
          <w:bCs/>
          <w:sz w:val="32"/>
          <w:szCs w:val="32"/>
        </w:rPr>
        <w:t>大力引进和培育专业服务机构，在环保服务、人力资源服务、家政服务等领域通过引进国内外知名机构、培育本地专业服务机构等方式，推动专业服务业发展，弥补现有服务空白。积极鼓励在专业服务领域利用海南自贸港政策优势先行先试，探索引入外资法律服务机构与高端人力资源服务机构，为外资律师事务所及高端家政服务机构在海口落地提供有力支持。实现专业服务业的差异化、国际化发展，有助于满足海南自贸港建设过程中引入的高端人才所需的专业服务需求。</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大力引进国际顶尖智库、法律、资产评估、会计、审计、税务、勘察设计、工程咨询以及战略规划、营销策划、市场调查、管理咨询、产权交易、信用评估，规划、知识产权、人力资源咨询，商务咨询等专业咨询服务。鼓励一批有实力、有品牌、有信誉的中介机构向综合型、规模化、国际化发展。引入一批专业设计机构及相关企业，有效支撑国际设计岛建设。</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力争到2025年，高端商务与专业服务产业增加值达到</w:t>
      </w:r>
      <w:r>
        <w:rPr>
          <w:rFonts w:ascii="仿宋_GB2312" w:hAnsi="楷体_GB2312" w:eastAsia="仿宋_GB2312" w:cs="楷体_GB2312"/>
          <w:bCs/>
          <w:sz w:val="32"/>
          <w:szCs w:val="32"/>
        </w:rPr>
        <w:t>150</w:t>
      </w:r>
      <w:r>
        <w:rPr>
          <w:rFonts w:hint="eastAsia" w:ascii="仿宋_GB2312" w:hAnsi="楷体_GB2312" w:eastAsia="仿宋_GB2312" w:cs="楷体_GB2312"/>
          <w:bCs/>
          <w:sz w:val="32"/>
          <w:szCs w:val="32"/>
        </w:rPr>
        <w:t>亿元，</w:t>
      </w:r>
      <w:r>
        <w:rPr>
          <w:rFonts w:hint="eastAsia" w:ascii="仿宋_GB2312" w:eastAsia="仿宋_GB2312" w:cs="仿宋_GB2312" w:hAnsiTheme="minorHAnsi"/>
          <w:kern w:val="0"/>
          <w:sz w:val="32"/>
          <w:szCs w:val="32"/>
        </w:rPr>
        <w:t>引进高层次人才</w:t>
      </w:r>
      <w:r>
        <w:rPr>
          <w:rFonts w:ascii="仿宋_GB2312" w:eastAsia="仿宋_GB2312" w:cs="仿宋_GB2312" w:hAnsiTheme="minorHAnsi"/>
          <w:kern w:val="0"/>
          <w:sz w:val="32"/>
          <w:szCs w:val="32"/>
        </w:rPr>
        <w:t>1.2</w:t>
      </w:r>
      <w:r>
        <w:rPr>
          <w:rFonts w:hint="eastAsia" w:ascii="仿宋_GB2312" w:eastAsia="仿宋_GB2312" w:cs="仿宋_GB2312" w:hAnsiTheme="minorHAnsi"/>
          <w:kern w:val="0"/>
          <w:sz w:val="32"/>
          <w:szCs w:val="32"/>
        </w:rPr>
        <w:t>万人，</w:t>
      </w:r>
      <w:r>
        <w:rPr>
          <w:rFonts w:hint="eastAsia" w:ascii="仿宋_GB2312" w:hAnsi="楷体_GB2312" w:eastAsia="仿宋_GB2312" w:cs="楷体_GB2312"/>
          <w:bCs/>
          <w:sz w:val="32"/>
          <w:szCs w:val="32"/>
        </w:rPr>
        <w:t>引进国际专业服务机构达到10家。</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9 </w:t>
            </w:r>
            <w:r>
              <w:rPr>
                <w:rFonts w:hint="eastAsia" w:ascii="仿宋_GB2312" w:hAnsi="仿宋" w:eastAsia="仿宋_GB2312" w:cs="仿宋"/>
                <w:b/>
                <w:bCs/>
                <w:kern w:val="0"/>
                <w:sz w:val="28"/>
                <w:szCs w:val="28"/>
                <w:shd w:val="clear" w:color="080000" w:fill="FFFFFF"/>
              </w:rPr>
              <w:t>高端商务与专业服务业建设专项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各领域引进一批全球领先专业服务业机构入驻：</w:t>
            </w:r>
            <w:r>
              <w:rPr>
                <w:rFonts w:hint="eastAsia" w:ascii="仿宋_GB2312" w:hAnsi="仿宋" w:eastAsia="仿宋_GB2312" w:cs="仿宋"/>
                <w:bCs/>
                <w:kern w:val="0"/>
                <w:sz w:val="24"/>
                <w:shd w:val="clear" w:color="080000" w:fill="FFFFFF"/>
              </w:rPr>
              <w:t xml:space="preserve">将“填补省市空白、填补行业空白”作为发展目标，大力引进专业服务机构，提升行业水平。 </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培育一批全国领先的本土专业服务业企业：</w:t>
            </w:r>
            <w:r>
              <w:rPr>
                <w:rFonts w:hint="eastAsia" w:ascii="仿宋_GB2312" w:hAnsi="仿宋" w:eastAsia="仿宋_GB2312" w:cs="仿宋"/>
                <w:bCs/>
                <w:kern w:val="0"/>
                <w:sz w:val="24"/>
                <w:shd w:val="clear" w:color="080000" w:fill="FFFFFF"/>
              </w:rPr>
              <w:t>支持本土专业服务业企业做强做大，形成一批发展态势良好的本土专业服务业企业，实现国际化发展。</w:t>
            </w:r>
          </w:p>
        </w:tc>
      </w:tr>
    </w:tbl>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24" w:name="_Toc85804163"/>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现代教育产业</w:t>
      </w:r>
      <w:bookmarkEnd w:id="2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“十三五”期间，海口市依托“全国教育装备综合改革试验区”与“全国教育信息化试点省”政策平台，教育信息化水平得到提升，初步具备国际学生留学的基础条件，职业教育逐步发展。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在“十四五”期间，随着人口的持续增长，海口市应</w:t>
      </w:r>
      <w:r>
        <w:rPr>
          <w:rFonts w:hint="eastAsia" w:ascii="仿宋_GB2312" w:hAnsi="仿宋_GB2312" w:eastAsia="仿宋_GB2312" w:cs="仿宋_GB2312"/>
          <w:sz w:val="32"/>
          <w:szCs w:val="32"/>
        </w:rPr>
        <w:t>强化现代教育产业在促进产业升级、新动能转化、推动贸易自由化发展中的重要作用。</w:t>
      </w:r>
      <w:r>
        <w:rPr>
          <w:rFonts w:hint="eastAsia" w:ascii="仿宋_GB2312" w:hAnsi="楷体_GB2312" w:eastAsia="仿宋_GB2312" w:cs="楷体_GB2312"/>
          <w:bCs/>
          <w:sz w:val="32"/>
          <w:szCs w:val="32"/>
        </w:rPr>
        <w:t>现代教育产业在现代服务业中发挥着基础性的作用，除产业建设投资、教培活动直接贡献产值外，更重要在于通过培养适合特定产业的人才及科技创新活动，对其他产业产生间接推动作用。需紧密围绕教育产业创新及对外开放的思路，力争提升现代教育产业发展水平，打造与海南自贸港发展需求相匹配的高质量教育产业，以体制机制优势引领现代教育业高质量发展。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——构建与自贸港建设匹配的现代化职业教育：</w:t>
      </w:r>
      <w:r>
        <w:rPr>
          <w:rFonts w:hint="eastAsia" w:ascii="仿宋_GB2312" w:hAnsi="楷体_GB2312" w:eastAsia="仿宋_GB2312" w:cs="楷体_GB2312"/>
          <w:bCs/>
          <w:sz w:val="32"/>
          <w:szCs w:val="32"/>
        </w:rPr>
        <w:t>立足于“十四五”时期自贸港建设的大背景，着眼于未来基础教育及职业教育领域发展需求，加快构建政府、学校、企业等多元主体共同参与的现代职业教育体系。支持和规范社会力量兴办职业教育培训，发展股份制、混合所有制职业院校。加快推进教育培训信息化建设，促进数字资源共建共享。针对当前重点发展的数字经济、软件、信息服务外包、健康医疗等产业需求，加快在教育培训领域建立相应培训能力，服务相关产业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——围绕产业需求提供多元化多层次人才支撑：</w:t>
      </w:r>
      <w:r>
        <w:rPr>
          <w:rFonts w:hint="eastAsia" w:ascii="仿宋_GB2312" w:hAnsi="楷体_GB2312" w:eastAsia="仿宋_GB2312" w:cs="楷体_GB2312"/>
          <w:bCs/>
          <w:sz w:val="32"/>
          <w:szCs w:val="32"/>
        </w:rPr>
        <w:t>围绕自贸港旅游业、现代服务业和高新技术产业等产业需求，建立中职和高职贯通的现代职教体系。推动海口旅游职业学院等专业院校建设。促进教育链、产业链和人才链链接，深化职普融通、产教融合、校企合作，培育产教融合型示范企业，推动建设一批具有辐射引领作用的高水平专业化产教融合实训基地。服务乡村振兴战略，为广大农村培养以新型职业农民为主体的农村实用人才。</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——形成海南特色的国际化教育产业：</w:t>
      </w:r>
      <w:r>
        <w:rPr>
          <w:rFonts w:hint="eastAsia" w:ascii="仿宋_GB2312" w:hAnsi="楷体_GB2312" w:eastAsia="仿宋_GB2312" w:cs="楷体_GB2312"/>
          <w:bCs/>
          <w:sz w:val="32"/>
          <w:szCs w:val="32"/>
        </w:rPr>
        <w:t>积极引进境外理工农医类高水平大学、职业院校在海口独立办学，设立国际学校。引进一批国内知名院校设立分支机构或开展中外合作办学，推动江东教育科研组团高水平发展。创造条件设立海洋类大学或者专业海洋研究机构，加强海洋强国战略服务保障能力。推动建设国际旅游大学、酒店管理职业学院等特色院校，培养符合海南自贸港建设需求的应用型人才。</w:t>
      </w:r>
      <w:r>
        <w:rPr>
          <w:rFonts w:hint="eastAsia" w:ascii="仿宋_GB2312" w:hAnsi="仿宋_GB2312" w:eastAsia="仿宋_GB2312" w:cs="仿宋_GB2312"/>
          <w:sz w:val="32"/>
          <w:szCs w:val="32"/>
        </w:rPr>
        <w:t>通过“一带一路”人才培养计划、搭建国际教育合作平台等，建立与国际友好城市教育交流机制，培养具有跨文化沟通能力及国际视野的高水平国际人才，</w:t>
      </w:r>
      <w:r>
        <w:rPr>
          <w:rFonts w:hint="eastAsia" w:ascii="仿宋_GB2312" w:hAnsi="楷体_GB2312" w:eastAsia="仿宋_GB2312" w:cs="楷体_GB2312"/>
          <w:bCs/>
          <w:sz w:val="32"/>
          <w:szCs w:val="32"/>
        </w:rPr>
        <w:t>促进境内外教育人才双向流动。</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教育发展环境达到国内先进水平，教育现代化取得重要进展，教育实现高水平均衡，教育开放、教育创新持续深化，教育队伍专业化水平进一步提升，数字校园建设全覆盖，智慧教育与智慧学习广泛应用，教育水平达到国内中等偏上。强化海口作为全省高端人才教育中心地位，提升海口教育国际化水平，为全省建设高质量教育体系和国际教育创新岛作出贡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2025年底前引入国际知名理工农医类高水平大学或分支机构落地办学；吸引国际教育消费100 亿元。</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10 </w:t>
            </w:r>
            <w:r>
              <w:rPr>
                <w:rFonts w:hint="eastAsia" w:ascii="仿宋_GB2312" w:hAnsi="仿宋" w:eastAsia="仿宋_GB2312" w:cs="仿宋"/>
                <w:b/>
                <w:bCs/>
                <w:kern w:val="0"/>
                <w:sz w:val="28"/>
                <w:szCs w:val="28"/>
                <w:shd w:val="clear" w:color="080000" w:fill="FFFFFF"/>
              </w:rPr>
              <w:t>现代教育产业建设专项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1.加快推进江东教育科研组团建设与发展：</w:t>
            </w:r>
            <w:r>
              <w:rPr>
                <w:rFonts w:hint="eastAsia" w:ascii="仿宋_GB2312" w:hAnsi="仿宋" w:eastAsia="仿宋_GB2312" w:cs="仿宋"/>
                <w:bCs/>
                <w:kern w:val="0"/>
                <w:sz w:val="24"/>
                <w:shd w:val="clear" w:color="080000" w:fill="FFFFFF"/>
              </w:rPr>
              <w:t>彰显教育科研组团的示范效应，不断扩大优质教育资源供给，为海南自贸港发展提供更多层次的人才培养模式。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2.引入境外理工农医类高水平大学落地办学：</w:t>
            </w:r>
            <w:r>
              <w:rPr>
                <w:rFonts w:hint="eastAsia" w:ascii="仿宋_GB2312" w:hAnsi="仿宋" w:eastAsia="仿宋_GB2312" w:cs="仿宋"/>
                <w:bCs/>
                <w:kern w:val="0"/>
                <w:sz w:val="24"/>
                <w:shd w:val="clear" w:color="080000" w:fill="FFFFFF"/>
              </w:rPr>
              <w:t>积极引进境外理工农医类高水平大学在海南自由贸易港独立办学，设立国际学校。进一步拓展中外交流平台，持续提升国际化教育质量。</w:t>
            </w:r>
          </w:p>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3.</w:t>
            </w:r>
            <w:r>
              <w:rPr>
                <w:rFonts w:hint="eastAsia"/>
                <w:kern w:val="0"/>
                <w:sz w:val="20"/>
              </w:rPr>
              <w:t xml:space="preserve"> </w:t>
            </w:r>
            <w:r>
              <w:rPr>
                <w:rFonts w:hint="eastAsia" w:ascii="仿宋_GB2312" w:hAnsi="仿宋" w:eastAsia="仿宋_GB2312" w:cs="仿宋"/>
                <w:b/>
                <w:kern w:val="0"/>
                <w:sz w:val="24"/>
                <w:shd w:val="clear" w:color="080000" w:fill="FFFFFF"/>
              </w:rPr>
              <w:t>引入境外优质资源开办国际高中：</w:t>
            </w:r>
            <w:r>
              <w:rPr>
                <w:rFonts w:hint="eastAsia" w:ascii="仿宋_GB2312" w:hAnsi="仿宋" w:eastAsia="仿宋_GB2312" w:cs="仿宋"/>
                <w:bCs/>
                <w:kern w:val="0"/>
                <w:sz w:val="24"/>
                <w:shd w:val="clear" w:color="080000" w:fill="FFFFFF"/>
              </w:rPr>
              <w:t>引进境外优质教育资源，开设国际高中，有助于提升海口市普通高中阶段的教育国际化水平，并提高海口市及海南省对于人才的吸引力。</w:t>
            </w:r>
          </w:p>
        </w:tc>
      </w:tr>
    </w:tbl>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25" w:name="_Toc85804164"/>
      <w:r>
        <w:rPr>
          <w:rFonts w:hint="eastAsia" w:ascii="黑体" w:hAnsi="黑体" w:eastAsia="黑体" w:cs="楷体_GB2312"/>
          <w:b/>
          <w:sz w:val="32"/>
          <w:szCs w:val="32"/>
        </w:rPr>
        <w:t>四、发展保障措施</w:t>
      </w:r>
      <w:bookmarkEnd w:id="25"/>
    </w:p>
    <w:p>
      <w:pPr>
        <w:spacing w:line="600" w:lineRule="exact"/>
        <w:outlineLvl w:val="1"/>
        <w:rPr>
          <w:rFonts w:ascii="华文楷体" w:hAnsi="华文楷体" w:eastAsia="华文楷体" w:cs="楷体_GB2312"/>
          <w:b/>
          <w:sz w:val="32"/>
          <w:szCs w:val="32"/>
        </w:rPr>
      </w:pPr>
      <w:bookmarkStart w:id="26" w:name="_Toc85804165"/>
      <w:r>
        <w:rPr>
          <w:rFonts w:hint="eastAsia" w:ascii="华文楷体" w:hAnsi="华文楷体" w:eastAsia="华文楷体" w:cs="楷体_GB2312"/>
          <w:b/>
          <w:sz w:val="32"/>
          <w:szCs w:val="32"/>
        </w:rPr>
        <w:t>（一）加强组织领导</w:t>
      </w:r>
      <w:bookmarkEnd w:id="26"/>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1.完善市现代服务业发展工作小组推进机制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工作小组职责为贯彻落实党中央、国务院和省委、省政府及市委、市政府关于现代服务业工作的重大决策部署，统筹协调全市现代服务业工作，研究全市现代服务业工作重大政策措施；督促检查各单位现代服务业工作任务完成落实情况；完成市委、市政府交办的其他事项。工作小组实行工作会议制度，工作会议由组长或其委托的副组长召集，根据工作需求定期或不定期召开，研究解决全市现代服务业工作推进过程中的重大问题。</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2.充分发挥行业协会的桥梁纽带作用</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进一步明确</w:t>
      </w:r>
      <w:r>
        <w:rPr>
          <w:rFonts w:hint="eastAsia" w:ascii="仿宋_GB2312" w:hAnsi="楷体_GB2312" w:eastAsia="仿宋_GB2312" w:cs="楷体_GB2312"/>
          <w:bCs/>
          <w:sz w:val="32"/>
          <w:szCs w:val="32"/>
        </w:rPr>
        <w:t>现代</w:t>
      </w:r>
      <w:r>
        <w:rPr>
          <w:rFonts w:hint="eastAsia" w:ascii="仿宋_GB2312" w:eastAsia="仿宋_GB2312"/>
          <w:kern w:val="0"/>
          <w:sz w:val="32"/>
          <w:szCs w:val="32"/>
        </w:rPr>
        <w:t>服务业行业协会职能定位，完善协会与企业多元合作机制，承办部分政府转向社会的职能事务，充分发挥行业协会政策倡导、行业自律、资源整合、人才集聚和沟通协调等桥梁和纽带作用。</w:t>
      </w:r>
    </w:p>
    <w:p>
      <w:pPr>
        <w:spacing w:line="600" w:lineRule="exact"/>
        <w:outlineLvl w:val="1"/>
        <w:rPr>
          <w:rFonts w:ascii="华文楷体" w:hAnsi="华文楷体" w:eastAsia="华文楷体" w:cs="楷体_GB2312"/>
          <w:b/>
          <w:sz w:val="32"/>
          <w:szCs w:val="32"/>
        </w:rPr>
      </w:pPr>
      <w:bookmarkStart w:id="27" w:name="_Toc85804166"/>
      <w:r>
        <w:rPr>
          <w:rFonts w:hint="eastAsia" w:ascii="华文楷体" w:hAnsi="华文楷体" w:eastAsia="华文楷体" w:cs="楷体_GB2312"/>
          <w:b/>
          <w:sz w:val="32"/>
          <w:szCs w:val="32"/>
        </w:rPr>
        <w:t>（二）优化市场环境</w:t>
      </w:r>
      <w:bookmarkEnd w:id="27"/>
    </w:p>
    <w:p>
      <w:pPr>
        <w:adjustRightInd w:val="0"/>
        <w:snapToGrid w:val="0"/>
        <w:spacing w:line="54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1</w:t>
      </w:r>
      <w:r>
        <w:rPr>
          <w:rFonts w:ascii="仿宋_GB2312" w:eastAsia="仿宋_GB2312"/>
          <w:b/>
          <w:bCs/>
          <w:kern w:val="0"/>
          <w:sz w:val="32"/>
          <w:szCs w:val="32"/>
        </w:rPr>
        <w:t>.</w:t>
      </w:r>
      <w:r>
        <w:rPr>
          <w:rFonts w:hint="eastAsia" w:ascii="仿宋_GB2312" w:eastAsia="仿宋_GB2312"/>
          <w:b/>
          <w:bCs/>
          <w:kern w:val="0"/>
          <w:sz w:val="32"/>
          <w:szCs w:val="32"/>
        </w:rPr>
        <w:t>构建公平竞争的市场环境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放开市场准入，实行统一市场准入制度，建立服务业领域公开、透明、平等、规范的市场准入标准，分层次、有重点地扩大金融、教育、文化、医疗等领域开放度，积极推进非基本公共服务市场化、产业化。同时推动政事分开、政社分开，推动政府尽快向社会组织转移或委托辅助性、技术性职能，突出政府公共服务职能，加强政府购买公共服务合同履约管理和绩效管理，全面引入第三方评价机制。打造公平合理的市场竞争环境，为服务业发展注入新的动力和活力。</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加强服务业市场诚信建设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立和完善“守信激励、失信惩戒”的机制，将市场监管中发现的企业违规和不诚信经营等不良行为录入公共联合征信系统，提高企业“失信成本”，有效强化市场监管效力，构建诚实守信的社会环境。大力宣传弘扬契约精神，对符合产业发展方向、信用良好的服务业企业，优先给予政策优惠、资金扶持和信贷支持，健全完善行政、市场、社会综合性信用奖惩机制，运用互联网技术大力推进服务领域信用体系建设。充分发挥信用建设规范市场秩序的作用，构建诚信、透明的市场环境。</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3.</w:t>
      </w:r>
      <w:r>
        <w:rPr>
          <w:rFonts w:hint="eastAsia" w:ascii="仿宋_GB2312" w:eastAsia="仿宋_GB2312"/>
          <w:b/>
          <w:bCs/>
          <w:kern w:val="0"/>
          <w:sz w:val="32"/>
          <w:szCs w:val="32"/>
        </w:rPr>
        <w:t>建立有利于现代服务业人才成长、汇聚的环境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加大对服务业紧缺人才的培训与引进力度。引入并培养一批通晓国际规则、熟悉各现代服务业行业发展特性的人才。建立服务业人才激励机制。对有突出贡献的服务业人才予以奖励。加强服务业从业人员的社会保障工作。建立发达的养老保险、大病医疗保险服务体系和区内自由流动的人事管理制度。</w:t>
      </w:r>
    </w:p>
    <w:p>
      <w:pPr>
        <w:spacing w:line="600" w:lineRule="exact"/>
        <w:outlineLvl w:val="1"/>
        <w:rPr>
          <w:rFonts w:ascii="华文楷体" w:hAnsi="华文楷体" w:eastAsia="华文楷体" w:cs="楷体_GB2312"/>
          <w:b/>
          <w:sz w:val="32"/>
          <w:szCs w:val="32"/>
        </w:rPr>
      </w:pPr>
      <w:bookmarkStart w:id="28" w:name="_Toc85804167"/>
      <w:r>
        <w:rPr>
          <w:rFonts w:hint="eastAsia" w:ascii="华文楷体" w:hAnsi="华文楷体" w:eastAsia="华文楷体" w:cs="楷体_GB2312"/>
          <w:b/>
          <w:sz w:val="32"/>
          <w:szCs w:val="32"/>
        </w:rPr>
        <w:t>（三）强化政策配套</w:t>
      </w:r>
      <w:bookmarkEnd w:id="28"/>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1.改善现代服务业法治环境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探索建立符合国际惯例、与海南服务业发展要求相适应的法治环境，不断健全金融、航运物流、信息服务、检验检测认证、旅游会展、人力资源服务、家庭服务、健康服务等领域的制度规范。促进各类所有制企业平等使用生产要素、公平参与市场竞争、同等受到法律保护。坚持依法行政，在法治环境建设方面走在全国前列。</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2.加大政府财政扶持力度</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落实现有的产业扶持政策，严格执行服务业发展相关的税费优惠和奖励政策，发挥引导资金导向作用。探索建立服务业发展引导基金，综合运用资本金注入、融资担保、无偿资助、贷款贴息和奖励等多种方式，增加对服务业集聚区、龙头企业、领军人才的支持。加大政府购买服务力度，进一步扩大政府采购范围。</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3.完善用地保障政策</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将现代服务业用地纳入各级国土空间规划。鼓励市县创新用地供给，实行长期租赁、先租后让、租让结合、弹性年期等供应方式，积极盘活闲置土地和城镇低效用地，有序推进集体建设用地入市，保障现代服务业发展用地需求。</w:t>
      </w:r>
    </w:p>
    <w:p>
      <w:pPr>
        <w:spacing w:line="600" w:lineRule="exact"/>
        <w:outlineLvl w:val="1"/>
        <w:rPr>
          <w:rFonts w:ascii="华文楷体" w:hAnsi="华文楷体" w:eastAsia="华文楷体" w:cs="楷体_GB2312"/>
          <w:b/>
          <w:sz w:val="32"/>
          <w:szCs w:val="32"/>
        </w:rPr>
      </w:pPr>
      <w:bookmarkStart w:id="29" w:name="_Toc85804168"/>
      <w:r>
        <w:rPr>
          <w:rFonts w:hint="eastAsia" w:ascii="华文楷体" w:hAnsi="华文楷体" w:eastAsia="华文楷体" w:cs="楷体_GB2312"/>
          <w:b/>
          <w:sz w:val="32"/>
          <w:szCs w:val="32"/>
        </w:rPr>
        <w:t>（四）落实要素保障</w:t>
      </w:r>
      <w:bookmarkEnd w:id="29"/>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1.完善基础设施</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推动重大交通基础设施建设，完善“铁、水、公、空、管”五位一体的现代立体综合交通运输体系。在5G、数据中心、人工智能、区块链、物联网等基础设施的建设方面，把握国家和各大运营商、基础设施建设企业对海南大力支持投入的机遇，加快信息基础设施建设，打造“固网更宽、无线更快”的综合通信服务，加快推进5G网络建设，进一步加强数据传输能力。推进自贸港的数据基础设施建设，通过基础设施建设发挥乘数效应、溢出效应带动数字经济的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2.拓宽融资渠道</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kern w:val="0"/>
          <w:sz w:val="32"/>
          <w:szCs w:val="32"/>
        </w:rPr>
        <w:t>加大信贷支持力度和直接融资力度。推动政府与商业银行签订信贷合作协议，定期组织现代服务业各行业银企对接会，建立银企政三方良好合作关系，保障重点项目建设资金来源。支持现代服务业龙头企业重组、兼并和战略合作，引导企业通过股权置换、资产重组等多种方式筹措资金，支持符合条件的企业发行短期融资券、中期票据等企业债券。</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3.强化人才保障</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积极构建宽松的人才引进环境，强化人才奖励与保障制度，引进和培养现代服务业发展所需的高层次人才和创新创业型人才，推动服务业发展从人口红利向人才红利转变。着力解决高层次服务业人才流动中的人事档案、劳动关系、户籍迁入、子女教育、社会保障等方面的问题。引导高等院校和中等职业学校主动对接地方产业发展需求，广开校企合作渠道，实现校企深度融合，积极探索校校合作新模式，实现资源共享，优势互补，为专业人才的培养创造条件，提升现代服务业队伍整体质量。</w:t>
      </w:r>
    </w:p>
    <w:p>
      <w:pPr>
        <w:spacing w:line="600" w:lineRule="exact"/>
        <w:outlineLvl w:val="1"/>
        <w:rPr>
          <w:rFonts w:ascii="华文楷体" w:hAnsi="华文楷体" w:eastAsia="华文楷体" w:cs="楷体_GB2312"/>
          <w:b/>
          <w:sz w:val="32"/>
          <w:szCs w:val="32"/>
        </w:rPr>
      </w:pPr>
      <w:bookmarkStart w:id="30" w:name="_Toc85804169"/>
      <w:r>
        <w:rPr>
          <w:rFonts w:hint="eastAsia" w:ascii="华文楷体" w:hAnsi="华文楷体" w:eastAsia="华文楷体" w:cs="楷体_GB2312"/>
          <w:b/>
          <w:sz w:val="32"/>
          <w:szCs w:val="32"/>
        </w:rPr>
        <w:t>（五）建设公共平台</w:t>
      </w:r>
      <w:bookmarkEnd w:id="30"/>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1.</w:t>
      </w:r>
      <w:r>
        <w:rPr>
          <w:rFonts w:hint="eastAsia" w:ascii="仿宋_GB2312" w:eastAsia="仿宋_GB2312"/>
          <w:b/>
          <w:bCs/>
          <w:kern w:val="0"/>
          <w:sz w:val="32"/>
          <w:szCs w:val="32"/>
        </w:rPr>
        <w:t>加强各类服务业公共平台的建设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成信用信息平台，集合金融、工商登记、税收缴纳、社保缴费、交通违章等方面的信用信息。构建融资租赁平台，提高服务业资产与金融资本配置效率。完善产权交易平台，优化产权交易服务。建设创业孵化平台，为服务业创业提供信息资讯、投融资、科技成果转化、资源共享等专业服务。打造公共信息平台，逐步开放经济建设、资源环境、教育科技、道路交通等部分公共数据资源，为企业提供信息查询服务。完善服务业统计工作平台，健全统计部门和行业主管部门分工合作的统计工作机制，做好现代服务业重点产业统计工作。</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加快发展平台经济，拓展企业服务半径</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结合重点行业发展，培育和引进有竞争力的平台企业。鼓励有条件的贸易商、资讯服务商、制造业企业内部贸易平台等拓展服务领域，向企业平台转型升级，发展成为具有总集成能力的专业化服务平台。加快引进一批具有行业领军能力的平台企业，扶持一批信誉好、有潜力的平台企业做大做强，支持其跨地区、跨行业、跨所有制整合资源。同时围绕产业链与创新链需求，着力打造创新型、网络型平台，建设具有世界领先水平的综合性科学研究试验基地，在信息技术、生物医药和高端装备等领域，重点建设若干共性技术研发支撑平台，建设创新功能型平台体系，突破企业发展的地域限制，拓展服务半径，为经济发展带来新的增长点。</w:t>
      </w:r>
    </w:p>
    <w:p>
      <w:pPr>
        <w:spacing w:line="600" w:lineRule="exact"/>
        <w:outlineLvl w:val="1"/>
        <w:rPr>
          <w:rFonts w:ascii="华文楷体" w:hAnsi="华文楷体" w:eastAsia="华文楷体" w:cs="楷体_GB2312"/>
          <w:b/>
          <w:sz w:val="32"/>
          <w:szCs w:val="32"/>
        </w:rPr>
      </w:pPr>
      <w:bookmarkStart w:id="31" w:name="_Toc85804170"/>
      <w:r>
        <w:rPr>
          <w:rFonts w:hint="eastAsia" w:ascii="华文楷体" w:hAnsi="华文楷体" w:eastAsia="华文楷体" w:cs="楷体_GB2312"/>
          <w:b/>
          <w:sz w:val="32"/>
          <w:szCs w:val="32"/>
        </w:rPr>
        <w:t>（六）做实统计考核</w:t>
      </w:r>
      <w:bookmarkEnd w:id="31"/>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.优化考核监督体系</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现代服务业新业态、新模式，健全服务业统计指标体系，优化完善综合考核指标体系，制定现代服务业发展考核实施细则，建立科学有效的绩效考核评价体系。将现代服务业发展指标纳入经济社会发展的考核体系，考核地方党委、政府服务业发展绩效。</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.创新信息统计方法</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以国民经济行业分类标准为基础，优化完善现代服务业相关重点领域的统计方法，进一步健全现代服务业相关重点领域的行业分类标准，提高现代服务业统计的全面性、精确性和及时性。建立信息共享机制，完善统计信息发布制度，加强对现代服务业相关重点领域发展态势的监测、预测和分析。</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.建立动态调整机制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统计调查工作必须结合各自实际，突出各自特色，强化本地方、本部门现代服务业科技发展部署，科学合理地反映当地现代服务业发展水平。具体问题具体分析，先易后难，根据现代服务业科技发展的新进展和社会需求的新变化，对规划做出相应的调整，不断改进和发展监测方法，保证统计体系与产业结构调整和经济转型升级相适应。</w:t>
      </w:r>
    </w:p>
    <w:p>
      <w:pPr>
        <w:rPr>
          <w:rFonts w:hint="eastAsia"/>
        </w:rPr>
      </w:pPr>
    </w:p>
    <w:p>
      <w:pPr>
        <w:pStyle w:val="2"/>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32BCA"/>
    <w:multiLevelType w:val="multilevel"/>
    <w:tmpl w:val="7C732BCA"/>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9793B"/>
    <w:rsid w:val="55297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80" w:lineRule="exact"/>
      <w:ind w:firstLine="643" w:firstLineChars="200"/>
      <w:outlineLvl w:val="1"/>
    </w:pPr>
    <w:rPr>
      <w:rFonts w:ascii="仿宋" w:hAnsi="仿宋" w:eastAsia="仿宋" w:cs="楷体"/>
      <w:b/>
      <w:bCs/>
      <w:color w:val="000000" w:themeColor="text1"/>
      <w:kern w:val="0"/>
      <w:sz w:val="32"/>
      <w:szCs w:val="32"/>
      <w14:textFill>
        <w14:solidFill>
          <w14:schemeClr w14:val="tx1"/>
        </w14:solidFill>
      </w14:textFill>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toc 1"/>
    <w:basedOn w:val="1"/>
    <w:next w:val="1"/>
    <w:unhideWhenUsed/>
    <w:qFormat/>
    <w:uiPriority w:val="39"/>
    <w:pPr>
      <w:tabs>
        <w:tab w:val="right" w:leader="dot" w:pos="8296"/>
      </w:tabs>
      <w:spacing w:line="480" w:lineRule="auto"/>
    </w:pPr>
    <w:rPr>
      <w:rFonts w:ascii="黑体" w:hAnsi="黑体" w:eastAsia="黑体" w:cs="楷体_GB2312"/>
      <w:b/>
      <w:sz w:val="22"/>
      <w:szCs w:val="22"/>
    </w:rPr>
  </w:style>
  <w:style w:type="paragraph" w:styleId="5">
    <w:name w:val="toc 2"/>
    <w:basedOn w:val="1"/>
    <w:next w:val="1"/>
    <w:unhideWhenUsed/>
    <w:qFormat/>
    <w:uiPriority w:val="39"/>
    <w:pPr>
      <w:ind w:left="420" w:leftChars="200"/>
    </w:pPr>
  </w:style>
  <w:style w:type="character" w:styleId="7">
    <w:name w:val="Hyperlink"/>
    <w:basedOn w:val="6"/>
    <w:unhideWhenUsed/>
    <w:qFormat/>
    <w:uiPriority w:val="99"/>
    <w:rPr>
      <w:color w:val="0563C1" w:themeColor="hyperlink"/>
      <w:u w:val="single"/>
      <w14:textFill>
        <w14:solidFill>
          <w14:schemeClr w14:val="hlink"/>
        </w14:solidFill>
      </w14:textFill>
    </w:r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 w:type="character" w:customStyle="1" w:styleId="11">
    <w:name w:val="fontstyle01"/>
    <w:basedOn w:val="6"/>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2021-11-04T06:43:00Z</dcterms:created>
  <dc:creator>cai</dc:creator>
  <cp:lastModifiedBy>cai</cp:lastModifiedBy>
  <dcterms:modified xsi:type="dcterms:W3CDTF">2021-11-04T06:45:33Z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