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宋体" w:eastAsia="黑体"/>
          <w:sz w:val="32"/>
          <w:szCs w:val="32"/>
        </w:rPr>
      </w:pPr>
      <w:bookmarkStart w:id="123" w:name="_GoBack"/>
      <w:bookmarkEnd w:id="123"/>
      <w:r>
        <w:rPr>
          <w:rFonts w:hint="eastAsia" w:ascii="黑体" w:hAnsi="宋体" w:eastAsia="黑体"/>
          <w:sz w:val="32"/>
          <w:szCs w:val="32"/>
        </w:rPr>
        <w:t>附件1</w:t>
      </w:r>
    </w:p>
    <w:p>
      <w:pPr>
        <w:rPr>
          <w:rFonts w:hint="eastAsia" w:ascii="宋体" w:hAnsi="宋体"/>
          <w:sz w:val="30"/>
          <w:szCs w:val="30"/>
        </w:rPr>
      </w:pPr>
    </w:p>
    <w:p>
      <w:pPr>
        <w:jc w:val="center"/>
        <w:rPr>
          <w:rFonts w:hint="eastAsia" w:ascii="黑体" w:hAnsi="ˎ̥" w:eastAsia="黑体"/>
          <w:sz w:val="44"/>
          <w:szCs w:val="44"/>
        </w:rPr>
      </w:pPr>
      <w:r>
        <w:rPr>
          <w:rFonts w:hint="eastAsia" w:ascii="黑体" w:hAnsi="ˎ̥" w:eastAsia="黑体"/>
          <w:sz w:val="44"/>
          <w:szCs w:val="44"/>
        </w:rPr>
        <w:t>海口市商务局部门2020年度部门决算公开文字说明</w:t>
      </w:r>
    </w:p>
    <w:p>
      <w:pPr>
        <w:rPr>
          <w:rFonts w:hint="eastAsia" w:ascii="黑体" w:hAnsi="ˎ̥" w:eastAsia="黑体"/>
          <w:b/>
          <w:sz w:val="32"/>
          <w:szCs w:val="32"/>
        </w:rPr>
      </w:pPr>
    </w:p>
    <w:p>
      <w:pPr>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9"/>
        <w:tabs>
          <w:tab w:val="right" w:leader="dot" w:pos="8306"/>
        </w:tabs>
        <w:rPr>
          <w:sz w:val="32"/>
          <w:szCs w:val="32"/>
        </w:rPr>
      </w:pPr>
      <w:r>
        <w:rPr>
          <w:sz w:val="32"/>
          <w:szCs w:val="32"/>
        </w:rPr>
        <w:fldChar w:fldCharType="begin"/>
      </w:r>
      <w:r>
        <w:rPr>
          <w:sz w:val="32"/>
          <w:szCs w:val="32"/>
        </w:rPr>
        <w:instrText xml:space="preserve"> HYPERLINK \l _Toc1704_WPSOffice_Level1 </w:instrText>
      </w:r>
      <w:r>
        <w:rPr>
          <w:sz w:val="32"/>
          <w:szCs w:val="32"/>
        </w:rPr>
        <w:fldChar w:fldCharType="separate"/>
      </w:r>
      <w:r>
        <w:rPr>
          <w:rFonts w:hint="eastAsia" w:ascii="黑体" w:hAnsi="ˎ̥" w:eastAsia="黑体"/>
          <w:sz w:val="32"/>
          <w:szCs w:val="32"/>
        </w:rPr>
        <w:t>第一部分  海口市商务局部门部门概况</w:t>
      </w:r>
      <w:r>
        <w:rPr>
          <w:sz w:val="32"/>
          <w:szCs w:val="32"/>
        </w:rPr>
        <w:tab/>
      </w:r>
      <w:r>
        <w:rPr>
          <w:rFonts w:hint="eastAsia"/>
          <w:sz w:val="32"/>
          <w:szCs w:val="32"/>
        </w:rPr>
        <w:t>3</w:t>
      </w:r>
      <w:r>
        <w:rPr>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rPr>
          <w:sz w:val="32"/>
          <w:szCs w:val="32"/>
        </w:rPr>
      </w:pPr>
      <w:r>
        <w:rPr>
          <w:sz w:val="32"/>
          <w:szCs w:val="32"/>
        </w:rPr>
        <w:fldChar w:fldCharType="begin"/>
      </w:r>
      <w:r>
        <w:rPr>
          <w:sz w:val="32"/>
          <w:szCs w:val="32"/>
        </w:rPr>
        <w:instrText xml:space="preserve"> HYPERLINK \l _Toc28253_WPSOffice_Level1 </w:instrText>
      </w:r>
      <w:r>
        <w:rPr>
          <w:sz w:val="32"/>
          <w:szCs w:val="32"/>
        </w:rPr>
        <w:fldChar w:fldCharType="separate"/>
      </w:r>
      <w:r>
        <w:rPr>
          <w:rFonts w:hint="eastAsia" w:ascii="黑体" w:hAnsi="ˎ̥" w:eastAsia="黑体"/>
          <w:sz w:val="32"/>
          <w:szCs w:val="32"/>
        </w:rPr>
        <w:t>第二部分  海口市商务局部门2020年度部门决算公开表</w:t>
      </w:r>
      <w:r>
        <w:rPr>
          <w:sz w:val="32"/>
          <w:szCs w:val="32"/>
        </w:rPr>
        <w:tab/>
      </w:r>
      <w:r>
        <w:rPr>
          <w:rFonts w:hint="eastAsia"/>
          <w:sz w:val="32"/>
          <w:szCs w:val="32"/>
        </w:rPr>
        <w:t>3</w:t>
      </w:r>
      <w:r>
        <w:rPr>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rPr>
          <w:sz w:val="32"/>
          <w:szCs w:val="32"/>
        </w:rPr>
      </w:pPr>
      <w:r>
        <w:rPr>
          <w:sz w:val="32"/>
          <w:szCs w:val="32"/>
        </w:rPr>
        <w:fldChar w:fldCharType="begin"/>
      </w:r>
      <w:r>
        <w:rPr>
          <w:sz w:val="32"/>
          <w:szCs w:val="32"/>
        </w:rPr>
        <w:instrText xml:space="preserve"> HYPERLINK \l _Toc27590_WPSOffice_Level1 </w:instrText>
      </w:r>
      <w:r>
        <w:rPr>
          <w:sz w:val="32"/>
          <w:szCs w:val="32"/>
        </w:rP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海口市商务局部门2020年度部门决算情况说明</w:t>
      </w:r>
      <w:r>
        <w:rPr>
          <w:sz w:val="32"/>
          <w:szCs w:val="32"/>
        </w:rPr>
        <w:tab/>
      </w:r>
      <w:r>
        <w:rPr>
          <w:rFonts w:hint="eastAsia"/>
          <w:sz w:val="32"/>
          <w:szCs w:val="32"/>
        </w:rPr>
        <w:t>4</w:t>
      </w:r>
      <w:r>
        <w:rPr>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10"/>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政府性基金预算财政拨款支出决算情况说明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10"/>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国有资本经营预算财政拨款支出决算情况说明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hint="eastAsia"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10"/>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9"/>
        <w:tabs>
          <w:tab w:val="right" w:leader="dot" w:pos="8306"/>
        </w:tabs>
        <w:rPr>
          <w:sz w:val="32"/>
          <w:szCs w:val="32"/>
        </w:rPr>
      </w:pPr>
      <w:r>
        <w:rPr>
          <w:sz w:val="32"/>
          <w:szCs w:val="32"/>
        </w:rPr>
        <w:fldChar w:fldCharType="begin"/>
      </w:r>
      <w:r>
        <w:rPr>
          <w:sz w:val="32"/>
          <w:szCs w:val="32"/>
        </w:rPr>
        <w:instrText xml:space="preserve"> HYPERLINK \l _Toc15425_WPSOffice_Level1 </w:instrText>
      </w:r>
      <w:r>
        <w:rPr>
          <w:sz w:val="32"/>
          <w:szCs w:val="32"/>
        </w:rP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3</w:t>
      </w:r>
    </w:p>
    <w:p>
      <w:pPr>
        <w:jc w:val="left"/>
        <w:rPr>
          <w:rFonts w:hint="eastAsia" w:ascii="黑体" w:hAnsi="黑体" w:eastAsia="黑体" w:cs="黑体"/>
          <w:sz w:val="32"/>
          <w:szCs w:val="32"/>
        </w:rPr>
      </w:pPr>
    </w:p>
    <w:p>
      <w:pPr>
        <w:jc w:val="center"/>
        <w:rPr>
          <w:rFonts w:hint="eastAsia" w:ascii="黑体" w:hAnsi="ˎ̥" w:eastAsia="黑体"/>
          <w:b/>
          <w:sz w:val="32"/>
          <w:szCs w:val="32"/>
        </w:rPr>
      </w:pPr>
    </w:p>
    <w:p>
      <w:pPr>
        <w:jc w:val="center"/>
        <w:rPr>
          <w:rFonts w:hint="eastAsia" w:ascii="黑体" w:hAnsi="ˎ̥" w:eastAsia="黑体"/>
          <w:sz w:val="32"/>
          <w:szCs w:val="32"/>
        </w:rPr>
      </w:pPr>
      <w:bookmarkStart w:id="2" w:name="_Toc23465_WPSOffice_Level1"/>
      <w:bookmarkStart w:id="3" w:name="_Toc10720_WPSOffice_Level1"/>
      <w:bookmarkStart w:id="4" w:name="_Toc10049_WPSOffice_Level1"/>
      <w:bookmarkStart w:id="5" w:name="_Toc1704_WPSOffice_Level1"/>
      <w:bookmarkStart w:id="6" w:name="_Toc32433_WPSOffice_Level1"/>
      <w:bookmarkStart w:id="7" w:name="_Toc22941_WPSOffice_Level1"/>
      <w:bookmarkStart w:id="8" w:name="_Toc24238_WPSOffice_Level2"/>
      <w:bookmarkStart w:id="9" w:name="_Toc20205_WPSOffice_Level2"/>
      <w:bookmarkStart w:id="10" w:name="_Toc32622_WPSOffice_Level2"/>
      <w:bookmarkStart w:id="11" w:name="_Toc26580_WPSOffice_Level2"/>
      <w:bookmarkStart w:id="12" w:name="_Toc14159_WPSOffice_Level2"/>
      <w:bookmarkStart w:id="13" w:name="_Toc20274_WPSOffice_Level2"/>
      <w:r>
        <w:rPr>
          <w:rFonts w:hint="eastAsia" w:ascii="黑体" w:hAnsi="ˎ̥" w:eastAsia="黑体"/>
          <w:sz w:val="32"/>
          <w:szCs w:val="32"/>
        </w:rPr>
        <w:t>第一部分  海口市商务局部门（单位）部门概况</w:t>
      </w:r>
      <w:bookmarkEnd w:id="2"/>
      <w:bookmarkEnd w:id="3"/>
      <w:bookmarkEnd w:id="4"/>
      <w:bookmarkEnd w:id="5"/>
      <w:bookmarkEnd w:id="6"/>
      <w:bookmarkEnd w:id="7"/>
    </w:p>
    <w:p>
      <w:pPr>
        <w:ind w:firstLine="640" w:firstLineChars="200"/>
        <w:rPr>
          <w:rFonts w:hint="eastAsia" w:ascii="楷体" w:hAnsi="楷体" w:eastAsia="楷体" w:cs="楷体"/>
          <w:sz w:val="32"/>
          <w:szCs w:val="32"/>
        </w:rPr>
      </w:pP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部门</w:t>
      </w:r>
      <w:bookmarkEnd w:id="8"/>
      <w:r>
        <w:rPr>
          <w:rFonts w:hint="eastAsia" w:ascii="黑体" w:hAnsi="黑体" w:eastAsia="黑体" w:cs="黑体"/>
          <w:sz w:val="32"/>
          <w:szCs w:val="32"/>
        </w:rPr>
        <w:t>（单位）职责</w:t>
      </w:r>
      <w:bookmarkEnd w:id="9"/>
      <w:bookmarkEnd w:id="10"/>
      <w:bookmarkEnd w:id="11"/>
      <w:bookmarkEnd w:id="12"/>
      <w:bookmarkEnd w:id="13"/>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ascii="仿宋_GB2312" w:eastAsia="仿宋_GB2312" w:cs="仿宋_GB2312"/>
          <w:sz w:val="32"/>
          <w:szCs w:val="32"/>
        </w:rPr>
        <w:t>依法</w:t>
      </w:r>
      <w:r>
        <w:rPr>
          <w:rFonts w:hint="eastAsia" w:ascii="仿宋_GB2312" w:eastAsia="仿宋_GB2312" w:cs="仿宋_GB2312"/>
          <w:sz w:val="32"/>
          <w:szCs w:val="32"/>
        </w:rPr>
        <w:t>拟定并组织实施</w:t>
      </w:r>
      <w:r>
        <w:rPr>
          <w:rFonts w:ascii="仿宋_GB2312" w:eastAsia="仿宋_GB2312" w:cs="仿宋_GB2312"/>
          <w:sz w:val="32"/>
          <w:szCs w:val="32"/>
        </w:rPr>
        <w:t>全市国内外贸易、国内外经济合作、投资促进的法规、规章、实施细则、政策以及发展规划、计划。</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三）负责研究提出引导市内外资金投向市场体系建设的政策，指导大宗产品批发市场规划、社区商业发展和城市商业网点规划、商业体系建设工作，推进农村市场体系建设，组织实施农村现代流通网络工程，促进城乡市场一体化发展。</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eastAsia="仿宋_GB2312" w:cs="仿宋_GB2312"/>
          <w:sz w:val="32"/>
          <w:szCs w:val="32"/>
        </w:rPr>
        <w:t>，</w:t>
      </w:r>
      <w:r>
        <w:rPr>
          <w:rFonts w:ascii="仿宋_GB2312" w:eastAsia="仿宋_GB2312" w:cs="仿宋_GB2312"/>
          <w:sz w:val="32"/>
          <w:szCs w:val="32"/>
        </w:rPr>
        <w:t>按照相关规定对特殊流通行业进行监督管理。</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(七）负责协调推进全市服务业发展工作；会同有关方面拟定</w:t>
      </w:r>
      <w:r>
        <w:rPr>
          <w:rFonts w:hint="eastAsia" w:ascii="仿宋_GB2312" w:eastAsia="仿宋_GB2312" w:cs="仿宋_GB2312"/>
          <w:sz w:val="32"/>
          <w:szCs w:val="32"/>
        </w:rPr>
        <w:t>并</w:t>
      </w:r>
      <w:r>
        <w:rPr>
          <w:rFonts w:ascii="仿宋_GB2312" w:eastAsia="仿宋_GB2312" w:cs="仿宋_GB2312"/>
          <w:sz w:val="32"/>
          <w:szCs w:val="32"/>
        </w:rPr>
        <w:t>组织实施全市商贸服务业、促进服务出口、服务外包发展规划和政策措施；综合分析全市服务业发展运行情况；推动服务外包平台建设。负责全市电子商务发展工作；拟定</w:t>
      </w:r>
      <w:r>
        <w:rPr>
          <w:rFonts w:hint="eastAsia" w:ascii="仿宋_GB2312" w:eastAsia="仿宋_GB2312" w:cs="仿宋_GB2312"/>
          <w:sz w:val="32"/>
          <w:szCs w:val="32"/>
        </w:rPr>
        <w:t>并</w:t>
      </w:r>
      <w:r>
        <w:rPr>
          <w:rFonts w:ascii="仿宋_GB2312" w:eastAsia="仿宋_GB2312" w:cs="仿宋_GB2312"/>
          <w:sz w:val="32"/>
          <w:szCs w:val="32"/>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eastAsia="仿宋_GB2312" w:cs="仿宋_GB2312"/>
          <w:sz w:val="32"/>
          <w:szCs w:val="32"/>
        </w:rPr>
        <w:t>、</w:t>
      </w:r>
      <w:r>
        <w:rPr>
          <w:rFonts w:ascii="仿宋_GB2312" w:eastAsia="仿宋_GB2312" w:cs="仿宋_GB2312"/>
          <w:sz w:val="32"/>
          <w:szCs w:val="32"/>
        </w:rPr>
        <w:t>法规、规章和合同章程的情况，加强事中事后监督</w:t>
      </w:r>
      <w:r>
        <w:rPr>
          <w:rFonts w:hint="eastAsia" w:ascii="仿宋_GB2312" w:eastAsia="仿宋_GB2312" w:cs="仿宋_GB2312"/>
          <w:sz w:val="32"/>
          <w:szCs w:val="32"/>
        </w:rPr>
        <w:t>；</w:t>
      </w:r>
      <w:r>
        <w:rPr>
          <w:rFonts w:ascii="仿宋_GB2312" w:eastAsia="仿宋_GB2312" w:cs="仿宋_GB2312"/>
          <w:sz w:val="32"/>
          <w:szCs w:val="32"/>
        </w:rPr>
        <w:t>联系指导全市开发园区利用外资工作。</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eastAsia="仿宋_GB2312" w:cs="仿宋_GB2312"/>
          <w:sz w:val="32"/>
          <w:szCs w:val="32"/>
        </w:rPr>
        <w:t>我市境外投资管理办法和具体政策；协助上级主管部门管理和监督我市承担的国家对外援助项目；指导</w:t>
      </w:r>
      <w:r>
        <w:rPr>
          <w:rFonts w:hint="eastAsia" w:ascii="仿宋_GB2312" w:eastAsia="仿宋_GB2312" w:cs="仿宋_GB2312"/>
          <w:sz w:val="32"/>
          <w:szCs w:val="32"/>
        </w:rPr>
        <w:t>监督</w:t>
      </w:r>
      <w:r>
        <w:rPr>
          <w:rFonts w:ascii="仿宋_GB2312" w:eastAsia="仿宋_GB2312" w:cs="仿宋_GB2312"/>
          <w:sz w:val="32"/>
          <w:szCs w:val="32"/>
        </w:rPr>
        <w:t>出境就业、境外就业职业介绍机构资格认定工作。</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(十）负责全市招商引资工作，</w:t>
      </w:r>
      <w:r>
        <w:rPr>
          <w:rFonts w:hint="eastAsia" w:ascii="仿宋_GB2312" w:eastAsia="仿宋_GB2312"/>
          <w:sz w:val="32"/>
          <w:szCs w:val="32"/>
        </w:rPr>
        <w:t>拟定并组织实施</w:t>
      </w:r>
      <w:r>
        <w:rPr>
          <w:rFonts w:ascii="仿宋_GB2312" w:eastAsia="仿宋_GB2312" w:cs="仿宋_GB2312"/>
          <w:sz w:val="32"/>
          <w:szCs w:val="32"/>
        </w:rPr>
        <w:t>招商引资中长期规划、年度工作计划和政策措施；负责全市招商引资项目编制的审核</w:t>
      </w:r>
      <w:r>
        <w:rPr>
          <w:rFonts w:hint="eastAsia" w:ascii="仿宋_GB2312" w:eastAsia="仿宋_GB2312" w:cs="仿宋_GB2312"/>
          <w:sz w:val="32"/>
          <w:szCs w:val="32"/>
        </w:rPr>
        <w:t>；</w:t>
      </w:r>
      <w:r>
        <w:rPr>
          <w:rFonts w:ascii="仿宋_GB2312" w:eastAsia="仿宋_GB2312" w:cs="仿宋_GB2312"/>
          <w:sz w:val="32"/>
          <w:szCs w:val="32"/>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(十二）负责对所属事业单位贯彻执行</w:t>
      </w:r>
      <w:r>
        <w:rPr>
          <w:rFonts w:hint="eastAsia" w:ascii="仿宋_GB2312" w:eastAsia="仿宋_GB2312"/>
          <w:sz w:val="32"/>
          <w:szCs w:val="32"/>
        </w:rPr>
        <w:t>党和国家的</w:t>
      </w:r>
      <w:r>
        <w:rPr>
          <w:rFonts w:ascii="仿宋_GB2312" w:eastAsia="仿宋_GB2312" w:cs="仿宋_GB2312"/>
          <w:sz w:val="32"/>
          <w:szCs w:val="32"/>
        </w:rPr>
        <w:t>方针政策、法律、法规和规章的情况进行监督检查，协同有关部门监管其非经营性国有资产</w:t>
      </w:r>
    </w:p>
    <w:p>
      <w:pPr>
        <w:adjustRightInd w:val="0"/>
        <w:snapToGrid w:val="0"/>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(十三）指导各区商务工作。</w:t>
      </w:r>
    </w:p>
    <w:p>
      <w:pPr>
        <w:adjustRightInd w:val="0"/>
        <w:snapToGrid w:val="0"/>
        <w:spacing w:line="560" w:lineRule="exact"/>
        <w:ind w:firstLine="640" w:firstLineChars="200"/>
        <w:rPr>
          <w:rFonts w:hint="eastAsia" w:ascii="黑体" w:hAnsi="黑体" w:eastAsia="黑体" w:cs="黑体"/>
          <w:sz w:val="32"/>
          <w:szCs w:val="32"/>
        </w:rPr>
      </w:pPr>
      <w:r>
        <w:rPr>
          <w:rFonts w:ascii="仿宋_GB2312" w:eastAsia="仿宋_GB2312" w:cs="仿宋_GB2312"/>
          <w:sz w:val="32"/>
          <w:szCs w:val="32"/>
        </w:rPr>
        <w:t>(十</w:t>
      </w:r>
      <w:r>
        <w:rPr>
          <w:rFonts w:hint="eastAsia" w:ascii="仿宋_GB2312" w:eastAsia="仿宋_GB2312" w:cs="仿宋_GB2312"/>
          <w:sz w:val="32"/>
          <w:szCs w:val="32"/>
        </w:rPr>
        <w:t>四</w:t>
      </w:r>
      <w:r>
        <w:rPr>
          <w:rFonts w:ascii="仿宋_GB2312" w:eastAsia="仿宋_GB2312" w:cs="仿宋_GB2312"/>
          <w:sz w:val="32"/>
          <w:szCs w:val="32"/>
        </w:rPr>
        <w:t>）承办市政府和上级部门交办的其他工作。</w:t>
      </w:r>
    </w:p>
    <w:p>
      <w:pPr>
        <w:ind w:firstLine="640" w:firstLineChars="200"/>
        <w:rPr>
          <w:rFonts w:hint="eastAsia" w:ascii="黑体" w:hAnsi="黑体" w:eastAsia="黑体" w:cs="黑体"/>
          <w:sz w:val="32"/>
          <w:szCs w:val="32"/>
        </w:rPr>
      </w:pPr>
      <w:bookmarkStart w:id="14" w:name="_Toc24474_WPSOffice_Level2"/>
      <w:bookmarkStart w:id="15" w:name="_Toc4833_WPSOffice_Level2"/>
      <w:bookmarkStart w:id="16" w:name="_Toc17796_WPSOffice_Level2"/>
      <w:bookmarkStart w:id="17" w:name="_Toc6572_WPSOffice_Level2"/>
      <w:bookmarkStart w:id="18" w:name="_Toc24059_WPSOffice_Level2"/>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纳入海口市商务局部门2020年度部门决算编制范围的二级预算单位包括：</w:t>
      </w:r>
    </w:p>
    <w:p>
      <w:pPr>
        <w:ind w:firstLine="640" w:firstLineChars="200"/>
        <w:rPr>
          <w:rFonts w:hint="eastAsia" w:ascii="楷体" w:hAnsi="楷体" w:eastAsia="楷体" w:cs="楷体"/>
          <w:sz w:val="32"/>
          <w:szCs w:val="32"/>
        </w:rPr>
      </w:pPr>
      <w:bookmarkStart w:id="19" w:name="_Toc25738_WPSOffice_Level2"/>
      <w:bookmarkStart w:id="20" w:name="_Toc24421_WPSOffice_Level2"/>
      <w:r>
        <w:rPr>
          <w:rFonts w:hint="eastAsia" w:ascii="楷体" w:hAnsi="楷体" w:eastAsia="楷体" w:cs="楷体"/>
          <w:sz w:val="32"/>
          <w:szCs w:val="32"/>
        </w:rPr>
        <w:t>（一）商务局部门本级</w:t>
      </w:r>
      <w:bookmarkEnd w:id="19"/>
      <w:bookmarkEnd w:id="20"/>
    </w:p>
    <w:p>
      <w:pPr>
        <w:ind w:firstLine="640" w:firstLineChars="200"/>
        <w:rPr>
          <w:rFonts w:hint="eastAsia" w:ascii="楷体" w:hAnsi="楷体" w:eastAsia="楷体" w:cs="楷体"/>
          <w:sz w:val="32"/>
          <w:szCs w:val="32"/>
        </w:rPr>
      </w:pPr>
      <w:bookmarkStart w:id="21" w:name="_Toc19721_WPSOffice_Level2"/>
      <w:bookmarkStart w:id="22" w:name="_Toc4442_WPSOffice_Level2"/>
      <w:r>
        <w:rPr>
          <w:rFonts w:hint="eastAsia" w:ascii="楷体" w:hAnsi="楷体" w:eastAsia="楷体" w:cs="楷体"/>
          <w:sz w:val="32"/>
          <w:szCs w:val="32"/>
        </w:rPr>
        <w:t>（二）海口市商业网点建设办公室</w:t>
      </w:r>
      <w:bookmarkEnd w:id="21"/>
      <w:bookmarkEnd w:id="22"/>
    </w:p>
    <w:p>
      <w:pPr>
        <w:ind w:left="1598" w:leftChars="304" w:hanging="960" w:hangingChars="300"/>
        <w:rPr>
          <w:rFonts w:hint="eastAsia" w:ascii="楷体" w:hAnsi="楷体" w:eastAsia="楷体" w:cs="楷体"/>
          <w:sz w:val="32"/>
          <w:szCs w:val="32"/>
        </w:rPr>
      </w:pPr>
      <w:r>
        <w:rPr>
          <w:rFonts w:hint="eastAsia" w:ascii="楷体" w:hAnsi="楷体" w:eastAsia="楷体" w:cs="楷体"/>
          <w:sz w:val="32"/>
          <w:szCs w:val="32"/>
        </w:rPr>
        <w:t>（三）海口市商</w:t>
      </w:r>
      <w:bookmarkStart w:id="23" w:name="_Toc6234_WPSOffice_Level1"/>
      <w:bookmarkStart w:id="24" w:name="_Toc28253_WPSOffice_Level1"/>
      <w:bookmarkStart w:id="25" w:name="_Toc30690_WPSOffice_Level1"/>
      <w:bookmarkStart w:id="26" w:name="_Toc15521_WPSOffice_Level1"/>
      <w:bookmarkStart w:id="27" w:name="_Toc30451_WPSOffice_Level1"/>
      <w:bookmarkStart w:id="28" w:name="_Toc8164_WPSOffice_Level1"/>
      <w:bookmarkStart w:id="29" w:name="_Toc32695_WPSOffice_Level2"/>
      <w:bookmarkStart w:id="30" w:name="_Toc6211_WPSOffice_Level2"/>
      <w:bookmarkStart w:id="31" w:name="_Toc8867_WPSOffice_Level2"/>
      <w:bookmarkStart w:id="32" w:name="_Toc11518_WPSOffice_Level2"/>
      <w:bookmarkStart w:id="33" w:name="_Toc4029_WPSOffice_Level2"/>
      <w:bookmarkStart w:id="34" w:name="_Toc32472_WPSOffice_Level2"/>
      <w:r>
        <w:rPr>
          <w:rFonts w:hint="eastAsia" w:ascii="楷体" w:hAnsi="楷体" w:eastAsia="楷体" w:cs="楷体"/>
          <w:sz w:val="32"/>
          <w:szCs w:val="32"/>
        </w:rPr>
        <w:t>务综合执法支队</w:t>
      </w:r>
    </w:p>
    <w:p>
      <w:pPr>
        <w:ind w:left="1598" w:leftChars="304" w:hanging="960" w:hangingChars="300"/>
        <w:rPr>
          <w:rFonts w:hint="eastAsia" w:ascii="楷体" w:hAnsi="楷体" w:eastAsia="楷体" w:cs="楷体"/>
          <w:sz w:val="32"/>
          <w:szCs w:val="32"/>
        </w:rPr>
      </w:pPr>
    </w:p>
    <w:p>
      <w:pPr>
        <w:ind w:left="1600" w:hanging="1600" w:hangingChars="500"/>
        <w:rPr>
          <w:rFonts w:hint="eastAsia" w:ascii="黑体" w:hAnsi="ˎ̥" w:eastAsia="黑体"/>
          <w:sz w:val="32"/>
          <w:szCs w:val="32"/>
        </w:rPr>
      </w:pPr>
      <w:r>
        <w:rPr>
          <w:rFonts w:hint="eastAsia" w:ascii="黑体" w:hAnsi="ˎ̥" w:eastAsia="黑体"/>
          <w:sz w:val="32"/>
          <w:szCs w:val="32"/>
        </w:rPr>
        <w:t>第二部分  海口市商务局部门2020年度部门（单位）决算公开报表</w:t>
      </w:r>
      <w:bookmarkEnd w:id="23"/>
      <w:bookmarkEnd w:id="24"/>
      <w:bookmarkEnd w:id="25"/>
      <w:bookmarkEnd w:id="26"/>
      <w:bookmarkEnd w:id="27"/>
      <w:bookmarkEnd w:id="28"/>
    </w:p>
    <w:p>
      <w:pPr>
        <w:ind w:firstLine="645"/>
        <w:rPr>
          <w:rFonts w:hint="eastAsia" w:ascii="黑体" w:hAnsi="黑体" w:eastAsia="黑体" w:cs="黑体"/>
          <w:sz w:val="32"/>
          <w:szCs w:val="32"/>
        </w:rPr>
      </w:pPr>
      <w:r>
        <w:rPr>
          <w:rFonts w:hint="eastAsia" w:ascii="黑体" w:hAnsi="黑体" w:eastAsia="黑体" w:cs="黑体"/>
          <w:sz w:val="32"/>
          <w:szCs w:val="32"/>
        </w:rPr>
        <w:t>一、收入支出决算公开表（见正文附件）</w:t>
      </w:r>
      <w:bookmarkEnd w:id="29"/>
      <w:bookmarkEnd w:id="30"/>
      <w:bookmarkEnd w:id="31"/>
      <w:r>
        <w:rPr>
          <w:rFonts w:hint="eastAsia" w:ascii="黑体" w:hAnsi="黑体" w:eastAsia="黑体" w:cs="黑体"/>
          <w:sz w:val="32"/>
          <w:szCs w:val="32"/>
        </w:rPr>
        <w:t>。</w:t>
      </w:r>
      <w:bookmarkEnd w:id="32"/>
      <w:bookmarkEnd w:id="33"/>
      <w:bookmarkEnd w:id="34"/>
    </w:p>
    <w:p>
      <w:pPr>
        <w:ind w:firstLine="645"/>
        <w:rPr>
          <w:rFonts w:hint="eastAsia" w:ascii="黑体" w:hAnsi="黑体" w:eastAsia="黑体" w:cs="黑体"/>
          <w:sz w:val="32"/>
          <w:szCs w:val="32"/>
        </w:rPr>
      </w:pPr>
      <w:bookmarkStart w:id="35" w:name="_Toc25608_WPSOffice_Level2"/>
      <w:bookmarkStart w:id="36" w:name="_Toc26621_WPSOffice_Level2"/>
      <w:bookmarkStart w:id="37" w:name="_Toc23139_WPSOffice_Level2"/>
      <w:bookmarkStart w:id="38" w:name="_Toc14349_WPSOffice_Level2"/>
      <w:bookmarkStart w:id="39" w:name="_Toc30334_WPSOffice_Level2"/>
      <w:bookmarkStart w:id="40" w:name="_Toc28622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hint="eastAsia" w:ascii="黑体" w:hAnsi="黑体" w:eastAsia="黑体" w:cs="黑体"/>
          <w:sz w:val="32"/>
          <w:szCs w:val="32"/>
        </w:rPr>
      </w:pPr>
      <w:bookmarkStart w:id="41" w:name="_Toc3262_WPSOffice_Level2"/>
      <w:bookmarkStart w:id="42" w:name="_Toc17858_WPSOffice_Level2"/>
      <w:bookmarkStart w:id="43" w:name="_Toc17626_WPSOffice_Level2"/>
      <w:bookmarkStart w:id="44" w:name="_Toc13854_WPSOffice_Level2"/>
      <w:bookmarkStart w:id="45" w:name="_Toc14658_WPSOffice_Level2"/>
      <w:bookmarkStart w:id="46" w:name="_Toc5489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hint="eastAsia" w:ascii="黑体" w:hAnsi="黑体" w:eastAsia="黑体" w:cs="黑体"/>
          <w:sz w:val="32"/>
          <w:szCs w:val="32"/>
        </w:rPr>
      </w:pPr>
      <w:bookmarkStart w:id="47" w:name="_Toc13701_WPSOffice_Level2"/>
      <w:bookmarkStart w:id="48" w:name="_Toc23591_WPSOffice_Level2"/>
      <w:bookmarkStart w:id="49" w:name="_Toc21415_WPSOffice_Level2"/>
      <w:bookmarkStart w:id="50" w:name="_Toc7988_WPSOffice_Level2"/>
      <w:bookmarkStart w:id="51" w:name="_Toc23493_WPSOffice_Level2"/>
      <w:bookmarkStart w:id="52" w:name="_Toc4265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hint="eastAsia" w:ascii="黑体" w:hAnsi="黑体" w:eastAsia="黑体" w:cs="黑体"/>
          <w:sz w:val="32"/>
          <w:szCs w:val="32"/>
        </w:rPr>
      </w:pPr>
      <w:bookmarkStart w:id="53" w:name="_Toc22783_WPSOffice_Level2"/>
      <w:bookmarkStart w:id="54" w:name="_Toc25166_WPSOffice_Level2"/>
      <w:bookmarkStart w:id="55" w:name="_Toc23829_WPSOffice_Level2"/>
      <w:bookmarkStart w:id="56" w:name="_Toc7879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hint="eastAsia"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hint="eastAsia" w:ascii="黑体" w:hAnsi="黑体" w:eastAsia="黑体" w:cs="黑体"/>
          <w:sz w:val="32"/>
          <w:szCs w:val="32"/>
        </w:rPr>
      </w:pPr>
      <w:bookmarkStart w:id="59" w:name="_Toc17283_WPSOffice_Level2"/>
      <w:bookmarkStart w:id="60" w:name="_Toc5343_WPSOffice_Level2"/>
      <w:bookmarkStart w:id="61" w:name="_Toc8373_WPSOffice_Level2"/>
      <w:bookmarkStart w:id="62" w:name="_Toc25362_WPSOffice_Level2"/>
      <w:bookmarkStart w:id="63" w:name="_Toc2632_WPSOffice_Level2"/>
      <w:bookmarkStart w:id="64" w:name="_Toc1783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bookmarkStart w:id="65" w:name="_Toc1533_WPSOffice_Level2"/>
      <w:bookmarkStart w:id="66" w:name="_Toc21310_WPSOffice_Level2"/>
      <w:bookmarkStart w:id="67" w:name="_Toc6020_WPSOffice_Level2"/>
      <w:bookmarkStart w:id="68" w:name="_Toc5594_WPSOffice_Level2"/>
      <w:bookmarkStart w:id="69" w:name="_Toc11799_WPSOffice_Level2"/>
      <w:bookmarkStart w:id="70" w:name="_Toc13345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rPr>
          <w:rFonts w:hint="eastAsia" w:ascii="黑体" w:hAnsi="黑体" w:eastAsia="黑体" w:cs="黑体"/>
          <w:sz w:val="32"/>
          <w:szCs w:val="32"/>
        </w:rPr>
      </w:pPr>
      <w:bookmarkStart w:id="71" w:name="_Toc9377_WPSOffice_Level2"/>
      <w:bookmarkStart w:id="72" w:name="_Toc1820_WPSOffice_Level2"/>
      <w:bookmarkStart w:id="73" w:name="_Toc29886_WPSOffice_Level2"/>
      <w:bookmarkStart w:id="74" w:name="_Toc19961_WPSOffice_Level2"/>
      <w:r>
        <w:rPr>
          <w:rFonts w:hint="eastAsia" w:ascii="黑体" w:hAnsi="黑体" w:eastAsia="黑体" w:cs="黑体"/>
          <w:sz w:val="32"/>
          <w:szCs w:val="32"/>
        </w:rPr>
        <w:t xml:space="preserve">    九、一般公共预算财政拨款“三公”经费支出决算</w:t>
      </w:r>
    </w:p>
    <w:p>
      <w:pPr>
        <w:rPr>
          <w:rFonts w:hint="eastAsia" w:ascii="黑体" w:hAnsi="黑体" w:eastAsia="黑体" w:cs="黑体"/>
          <w:sz w:val="32"/>
          <w:szCs w:val="32"/>
        </w:rPr>
      </w:pPr>
      <w:r>
        <w:rPr>
          <w:rFonts w:hint="eastAsia"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公开表（见正文附件）。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sz w:val="32"/>
          <w:szCs w:val="32"/>
        </w:rPr>
      </w:pPr>
    </w:p>
    <w:p>
      <w:pPr>
        <w:jc w:val="center"/>
        <w:rPr>
          <w:rFonts w:hint="eastAsia" w:ascii="黑体" w:hAnsi="ˎ̥" w:eastAsia="黑体"/>
          <w:sz w:val="32"/>
          <w:szCs w:val="32"/>
        </w:rPr>
      </w:pPr>
      <w:bookmarkStart w:id="75" w:name="_Toc29683_WPSOffice_Level1"/>
      <w:bookmarkStart w:id="76" w:name="_Toc4402_WPSOffice_Level1"/>
      <w:bookmarkStart w:id="77" w:name="_Toc27590_WPSOffice_Level1"/>
      <w:bookmarkStart w:id="78" w:name="_Toc16686_WPSOffice_Level1"/>
      <w:bookmarkStart w:id="79" w:name="_Toc31264_WPSOffice_Level1"/>
      <w:bookmarkStart w:id="80" w:name="_Toc28629_WPSOffice_Level1"/>
      <w:r>
        <w:rPr>
          <w:rFonts w:hint="eastAsia" w:ascii="黑体" w:hAnsi="ˎ̥" w:eastAsia="黑体"/>
          <w:sz w:val="32"/>
          <w:szCs w:val="32"/>
        </w:rPr>
        <w:t>第三部分  海口市商务局部门2020年度部门决算情况说明</w:t>
      </w:r>
      <w:bookmarkEnd w:id="75"/>
      <w:bookmarkEnd w:id="76"/>
      <w:bookmarkEnd w:id="77"/>
      <w:bookmarkEnd w:id="78"/>
      <w:bookmarkEnd w:id="79"/>
      <w:bookmarkEnd w:id="80"/>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2020年度收、支总计169679.94万元，与2019年度相比，收入、支出总计各增加112161.6万元，增长195%。主要原因一是其他基础设施建设增加了10000万元，其他地方自行试点项目收益专项债券收入安排的支出增加了59398.73万元，用于会展扩建二期项目资金。原因二是其他商贸事务支出增加42898.56万元，用于总部企业和一企一策奖励兑现、会展专项资金、汽车消费补贴。原因三是其他国有土地使用权出让收入安排的支出增加了1191.38万元，用于海南国际会展中心（一期）外广场、外立面及屋面维修改造项目资金。使用非财政拨款结余0.06万元，比2019年度增加了0.06万元，原因是使用往年银行利息收入结余0.06万元。年初结转结余4866.41万元，主要由城乡社区支出形成，较2019年度决算数增加4753.11万元，增长4195.15%，主要原因是2019未使用完4524.24万元的会展扩建二期项目资金结转到2020年。结余分配0.02万元，主要是年末银行利息收入0.02万元转非财政拨款结余</w:t>
      </w:r>
      <w:r>
        <w:rPr>
          <w:rFonts w:hint="eastAsia" w:ascii="楷体" w:hAnsi="楷体" w:eastAsia="楷体" w:cs="楷体"/>
          <w:sz w:val="32"/>
          <w:szCs w:val="32"/>
        </w:rPr>
        <w:t>，</w:t>
      </w:r>
      <w:r>
        <w:rPr>
          <w:rFonts w:hint="eastAsia" w:ascii="仿宋_GB2312" w:hAnsi="ˎ̥" w:eastAsia="仿宋_GB2312"/>
          <w:sz w:val="32"/>
          <w:szCs w:val="32"/>
        </w:rPr>
        <w:t>与2019年度决算数持平。年末结转结余17597.43万元，主要由其他地方自行试点项目收益专项债券收入安排的支出形成，较2019年度决算数增加12621.23万元，增长253.63%，主要原因是2020未使用完17388.44万元的会展扩建二期项目资金结转到下年。</w:t>
      </w:r>
    </w:p>
    <w:p>
      <w:pPr>
        <w:rPr>
          <w:rFonts w:hint="eastAsia" w:ascii="仿宋_GB2312" w:hAnsi="ˎ̥" w:eastAsia="仿宋_GB2312"/>
          <w:sz w:val="32"/>
          <w:szCs w:val="32"/>
        </w:rPr>
      </w:pPr>
      <w:r>
        <w:rPr>
          <w:rFonts w:hint="eastAsia" w:ascii="仿宋_GB2312" w:hAnsi="ˎ̥" w:eastAsia="仿宋_GB2312"/>
          <w:sz w:val="32"/>
          <w:szCs w:val="32"/>
        </w:rPr>
        <w:t xml:space="preserve">   （2020年度相关决算数据，可取自附件财决公开01表；2019年度相关决算数据可取自2019年度部门决算报表财决01表《收入支出决算总表》。）</w:t>
      </w: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本年收入合计164813.47万元，其中：财政拨款收入164813.45万元，占100%；上级补助收入0万元，占0%；事业收入0万元，占0%；经营收入0万元，占0%；附属单位上缴收入0万元，占0%；其他收入0.02万元，占0%。</w:t>
      </w:r>
    </w:p>
    <w:p>
      <w:pPr>
        <w:ind w:left="412" w:leftChars="196"/>
        <w:rPr>
          <w:rFonts w:hint="eastAsia" w:ascii="仿宋_GB2312" w:hAnsi="ˎ̥" w:eastAsia="仿宋_GB2312"/>
          <w:sz w:val="32"/>
          <w:szCs w:val="32"/>
        </w:rPr>
      </w:pPr>
      <w:r>
        <w:rPr>
          <w:rFonts w:hint="eastAsia" w:ascii="仿宋_GB2312" w:hAnsi="ˎ̥" w:eastAsia="仿宋_GB2312"/>
          <w:sz w:val="32"/>
          <w:szCs w:val="32"/>
        </w:rPr>
        <w:t xml:space="preserve">  （上述各项收入数字可取自财决公开02表）</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本年支出合计152082.49万元，其中：基本支出1363.10万元，占0.90%；项目支出150719.39万元，占99.10%；上缴上级支出0万元，占0%；经营支出0万元，占0%；对附属单位补助支出0万元，占0%。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（上述各项支出数字可取自财决公开03表。）</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财政拨款收入、支出总计169582.14万元。与2019年度相比，财政拨款收入、支出总计各增加112161.54万元，增长195.33%。主要原因一是其他基础设施建设增加了10000万元，其他地方自行试点项目收益专项债券收入安排的支出增加了59398.73万元，用于会展扩建二期项目资金。原因二是其他商贸事务支出增加42898.56万元，用于总部企业和一企一策奖励兑现、会展专项资金、汽车消费补贴。原因三是其他国有土地使用权出让收入安排的支出增加了1191.38万元，用于海南国际会展中心（一期）外广场、外立面及屋面维修改造项目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财政拨款年初结转结余4768.69万元，主要由城乡社区支出形成，较2019年度决算数增加4753.11万元，增长30488.13%，主要原因是2019未使用完的4524.24万元的会展扩建二期项目资金结转到2020年。</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末结转结余17511.63万元，主要由其他地方自行试点项目收益专项债券收入安排的支出形成，较2019年度决算数增加12633.15万元，增长258.96%，主要原因是2020未使用完17388.44万元的会展扩建二期项目资金结转到下年。</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（2020年度决算相关数据取自财决公开04表。2019年度决算相关数据可取自2019年度部门决算报表财决01-1表《财政拨款收入支出决算总表》。）</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hint="eastAsia" w:ascii="楷体" w:hAnsi="楷体" w:eastAsia="楷体" w:cs="楷体"/>
          <w:sz w:val="32"/>
          <w:szCs w:val="32"/>
        </w:rPr>
      </w:pPr>
      <w:bookmarkStart w:id="81" w:name="_Toc17398_WPSOffice_Level2"/>
      <w:bookmarkStart w:id="82" w:name="_Toc13694_WPSOffice_Level2"/>
      <w:bookmarkStart w:id="83" w:name="_Toc21737_WPSOffice_Level2"/>
      <w:bookmarkStart w:id="84" w:name="_Toc19665_WPSOffice_Level2"/>
      <w:bookmarkStart w:id="85" w:name="_Toc9989_WPSOffice_Level2"/>
      <w:bookmarkStart w:id="86" w:name="_Toc23005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hint="eastAsia" w:ascii="仿宋_GB2312" w:hAnsi="ˎ̥" w:eastAsia="仿宋_GB2312"/>
          <w:sz w:val="32"/>
          <w:szCs w:val="32"/>
        </w:rPr>
      </w:pPr>
      <w:bookmarkStart w:id="87" w:name="_Toc18793_WPSOffice_Level2"/>
      <w:bookmarkStart w:id="88" w:name="_Toc2711_WPSOffice_Level2"/>
      <w:bookmarkStart w:id="89" w:name="_Toc23864_WPSOffice_Level2"/>
      <w:bookmarkStart w:id="90" w:name="_Toc27767_WPSOffice_Level2"/>
      <w:bookmarkStart w:id="91" w:name="_Toc19535_WPSOffice_Level2"/>
      <w:bookmarkStart w:id="92" w:name="_Toc19075_WPSOffice_Level2"/>
      <w:r>
        <w:rPr>
          <w:rFonts w:hint="eastAsia" w:ascii="仿宋_GB2312" w:hAnsi="ˎ̥" w:eastAsia="仿宋_GB2312"/>
          <w:sz w:val="32"/>
          <w:szCs w:val="32"/>
        </w:rPr>
        <w:t>2020年度一般公共预算财政拨款支出61853.08万元，占本年支出合计的40.67%。与2019年度相比，一般公共预算财政拨款支出增加34868.68万元，增长129.22%，主要原因是其他商贸事务支出增加42898.57万元，用于总部企业和一企一策奖励兑现、会展专项资金、汽车消费补贴。</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2020年度一般公共预算财政拨款支出61853.08万元，主要用于以下方面：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支出46954.92万元，占75.91%。</w:t>
      </w:r>
      <w:r>
        <w:rPr>
          <w:rFonts w:hint="eastAsia" w:ascii="仿宋_GB2312" w:hAnsi="ˎ̥" w:eastAsia="仿宋_GB2312"/>
          <w:b/>
          <w:sz w:val="32"/>
          <w:szCs w:val="32"/>
        </w:rPr>
        <w:t>社会保障和就业（类）</w:t>
      </w:r>
      <w:r>
        <w:rPr>
          <w:rFonts w:hint="eastAsia" w:ascii="仿宋_GB2312" w:hAnsi="ˎ̥" w:eastAsia="仿宋_GB2312"/>
          <w:sz w:val="32"/>
          <w:szCs w:val="32"/>
        </w:rPr>
        <w:t>支出160.61万元，占0.26%；</w:t>
      </w:r>
      <w:r>
        <w:rPr>
          <w:rFonts w:hint="eastAsia" w:ascii="仿宋_GB2312" w:hAnsi="ˎ̥" w:eastAsia="仿宋_GB2312"/>
          <w:b/>
          <w:bCs/>
          <w:sz w:val="32"/>
          <w:szCs w:val="32"/>
        </w:rPr>
        <w:t>卫生健康（类）</w:t>
      </w:r>
      <w:r>
        <w:rPr>
          <w:rFonts w:hint="eastAsia" w:ascii="仿宋_GB2312" w:hAnsi="ˎ̥" w:eastAsia="仿宋_GB2312"/>
          <w:sz w:val="32"/>
          <w:szCs w:val="32"/>
        </w:rPr>
        <w:t>支出10042.48万元，占16.24%；</w:t>
      </w:r>
      <w:r>
        <w:rPr>
          <w:rFonts w:hint="eastAsia" w:ascii="仿宋_GB2312" w:hAnsi="ˎ̥" w:eastAsia="仿宋_GB2312"/>
          <w:b/>
          <w:bCs/>
          <w:sz w:val="32"/>
          <w:szCs w:val="32"/>
        </w:rPr>
        <w:t>城乡社区（类）</w:t>
      </w:r>
      <w:r>
        <w:rPr>
          <w:rFonts w:hint="eastAsia" w:ascii="仿宋_GB2312" w:hAnsi="ˎ̥" w:eastAsia="仿宋_GB2312"/>
          <w:sz w:val="32"/>
          <w:szCs w:val="32"/>
        </w:rPr>
        <w:t>支出4524.24万元，占7.31%；</w:t>
      </w:r>
      <w:r>
        <w:rPr>
          <w:rFonts w:hint="eastAsia" w:ascii="仿宋_GB2312" w:hAnsi="ˎ̥" w:eastAsia="仿宋_GB2312"/>
          <w:b/>
          <w:bCs/>
          <w:sz w:val="32"/>
          <w:szCs w:val="32"/>
        </w:rPr>
        <w:t>商业服务业（类）</w:t>
      </w:r>
      <w:r>
        <w:rPr>
          <w:rFonts w:hint="eastAsia" w:ascii="仿宋_GB2312" w:hAnsi="ˎ̥" w:eastAsia="仿宋_GB2312"/>
          <w:sz w:val="32"/>
          <w:szCs w:val="32"/>
        </w:rPr>
        <w:t>支出92.16万元，占0.15%；</w:t>
      </w:r>
      <w:r>
        <w:rPr>
          <w:rFonts w:hint="eastAsia" w:ascii="仿宋_GB2312" w:hAnsi="ˎ̥" w:eastAsia="仿宋_GB2312"/>
          <w:b/>
          <w:bCs/>
          <w:sz w:val="32"/>
          <w:szCs w:val="32"/>
        </w:rPr>
        <w:t>住房保障（类）</w:t>
      </w:r>
      <w:r>
        <w:rPr>
          <w:rFonts w:hint="eastAsia" w:ascii="仿宋_GB2312" w:hAnsi="ˎ̥" w:eastAsia="仿宋_GB2312"/>
          <w:sz w:val="32"/>
          <w:szCs w:val="32"/>
        </w:rPr>
        <w:t>支出78.67万元，占0.13%。</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bookmarkStart w:id="93" w:name="_Toc25136_WPSOffice_Level2"/>
      <w:bookmarkStart w:id="94" w:name="_Toc22318_WPSOffice_Level2"/>
      <w:bookmarkStart w:id="95" w:name="_Toc21701_WPSOffice_Level2"/>
      <w:bookmarkStart w:id="96" w:name="_Toc9502_WPSOffice_Level2"/>
      <w:bookmarkStart w:id="97" w:name="_Toc29364_WPSOffice_Level2"/>
      <w:bookmarkStart w:id="98" w:name="_Toc15415_WPSOffice_Level2"/>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2020年度一般公共预算财政拨款支出年初预算为56832.24万元，支出决算为61853.08万元，完成年初预算的108.83%。其中：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sz w:val="32"/>
          <w:szCs w:val="32"/>
          <w:lang w:val="en-US" w:eastAsia="zh-CN"/>
        </w:rPr>
        <w:t>.</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人大事</w:t>
      </w:r>
      <w:r>
        <w:rPr>
          <w:rFonts w:hint="eastAsia" w:ascii="仿宋_GB2312" w:hAnsi="ˎ̥" w:eastAsia="仿宋_GB2312"/>
          <w:b/>
          <w:sz w:val="32"/>
          <w:szCs w:val="32"/>
        </w:rPr>
        <w:t>务（款）行政运行（项）。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当前年度无此项预算。</w:t>
      </w:r>
      <w:r>
        <w:rPr>
          <w:rFonts w:hint="eastAsia" w:ascii="仿宋_GB2312" w:hAnsi="ˎ̥" w:eastAsia="仿宋_GB2312"/>
          <w:sz w:val="32"/>
          <w:szCs w:val="32"/>
        </w:rPr>
        <w:t xml:space="preserve"> </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2.</w:t>
      </w:r>
      <w:r>
        <w:rPr>
          <w:rFonts w:hint="eastAsia" w:ascii="仿宋_GB2312" w:hAnsi="ˎ̥" w:eastAsia="仿宋_GB2312"/>
          <w:sz w:val="32"/>
          <w:szCs w:val="32"/>
        </w:rPr>
        <w:t xml:space="preserve"> </w:t>
      </w:r>
      <w:r>
        <w:rPr>
          <w:rFonts w:hint="eastAsia" w:ascii="仿宋_GB2312" w:hAnsi="ˎ̥" w:eastAsia="仿宋_GB2312"/>
          <w:b/>
          <w:sz w:val="32"/>
          <w:szCs w:val="32"/>
        </w:rPr>
        <w:t>一般公共服务（类）商贸事务（款）行政运行（项）。</w:t>
      </w:r>
    </w:p>
    <w:p>
      <w:pPr>
        <w:rPr>
          <w:rFonts w:hint="eastAsia" w:ascii="仿宋_GB2312" w:hAnsi="ˎ̥" w:eastAsia="仿宋_GB2312"/>
          <w:sz w:val="32"/>
          <w:szCs w:val="32"/>
        </w:rPr>
      </w:pPr>
      <w:r>
        <w:rPr>
          <w:rFonts w:hint="eastAsia" w:ascii="仿宋_GB2312" w:hAnsi="ˎ̥" w:eastAsia="仿宋_GB2312"/>
          <w:sz w:val="32"/>
          <w:szCs w:val="32"/>
        </w:rPr>
        <w:t xml:space="preserve">年初预算为3065.84万元，支出决算为3035.31万元，完成年初预算的99.00%。主要原因是新冠疫情影响部分日常工作的开展。    </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3.</w:t>
      </w:r>
      <w:r>
        <w:rPr>
          <w:rFonts w:hint="eastAsia" w:ascii="仿宋_GB2312" w:hAnsi="ˎ̥" w:eastAsia="仿宋_GB2312"/>
          <w:b/>
          <w:sz w:val="32"/>
          <w:szCs w:val="32"/>
        </w:rPr>
        <w:t>一般公共服务（类）商贸事务（款）一般行政管理事务（项）。</w:t>
      </w:r>
      <w:r>
        <w:rPr>
          <w:rFonts w:hint="eastAsia" w:ascii="仿宋_GB2312" w:hAnsi="ˎ̥" w:eastAsia="仿宋_GB2312"/>
          <w:sz w:val="32"/>
          <w:szCs w:val="32"/>
        </w:rPr>
        <w:t>年初预算为303.86万元，支出决算为356.13万元，完成年初预算的117.20%。主要原因是实施自由贸易港政策，增加了商务领域工作的开展。</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4.</w:t>
      </w:r>
      <w:r>
        <w:rPr>
          <w:rFonts w:hint="eastAsia" w:ascii="仿宋_GB2312" w:hAnsi="ˎ̥" w:eastAsia="仿宋_GB2312"/>
          <w:b/>
          <w:sz w:val="32"/>
          <w:szCs w:val="32"/>
        </w:rPr>
        <w:t>一般公共服务（类）商贸事务（款）国内贸易管理（项）。</w:t>
      </w:r>
      <w:r>
        <w:rPr>
          <w:rFonts w:hint="eastAsia" w:ascii="仿宋_GB2312" w:hAnsi="ˎ̥" w:eastAsia="仿宋_GB2312"/>
          <w:sz w:val="32"/>
          <w:szCs w:val="32"/>
        </w:rPr>
        <w:t>年初预算为0万元，支出决算为416.05万元。主要原因是实施自由贸易港政策，增加了商务领域工作的开展。</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5.</w:t>
      </w:r>
      <w:r>
        <w:rPr>
          <w:rFonts w:hint="eastAsia" w:ascii="仿宋_GB2312" w:hAnsi="ˎ̥" w:eastAsia="仿宋_GB2312"/>
          <w:b/>
          <w:sz w:val="32"/>
          <w:szCs w:val="32"/>
        </w:rPr>
        <w:t>一般公共服务（类）商贸事务（款）招商引资（项）。</w:t>
      </w:r>
      <w:r>
        <w:rPr>
          <w:rFonts w:hint="eastAsia" w:ascii="仿宋_GB2312" w:hAnsi="ˎ̥" w:eastAsia="仿宋_GB2312"/>
          <w:sz w:val="32"/>
          <w:szCs w:val="32"/>
        </w:rPr>
        <w:t>年初预算为0万元，支出决算65.16万元。主要原因是实施自由贸易港政策，增加了商务领域工作的开展。</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6</w:t>
      </w:r>
      <w:r>
        <w:rPr>
          <w:rFonts w:hint="eastAsia" w:ascii="仿宋_GB2312" w:hAnsi="ˎ̥" w:eastAsia="仿宋_GB2312"/>
          <w:b/>
          <w:sz w:val="32"/>
          <w:szCs w:val="32"/>
          <w:lang w:val="en-US" w:eastAsia="zh-CN"/>
        </w:rPr>
        <w:t>.</w:t>
      </w:r>
      <w:r>
        <w:rPr>
          <w:rFonts w:hint="eastAsia" w:ascii="仿宋_GB2312" w:hAnsi="ˎ̥" w:eastAsia="仿宋_GB2312"/>
          <w:b/>
          <w:sz w:val="32"/>
          <w:szCs w:val="32"/>
        </w:rPr>
        <w:t>一般公共服务（类）商贸事务（款）其他商贸事务支出（项）。</w:t>
      </w:r>
      <w:r>
        <w:rPr>
          <w:rFonts w:hint="eastAsia" w:ascii="仿宋_GB2312" w:hAnsi="ˎ̥" w:eastAsia="仿宋_GB2312"/>
          <w:sz w:val="32"/>
          <w:szCs w:val="32"/>
        </w:rPr>
        <w:t xml:space="preserve">年初预算为53096.00万元，支出决算为43081.23万元，完成年初预算的81.14%。主要原因是新冠疫情影响此部分工作的开展。    </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7</w:t>
      </w:r>
      <w:r>
        <w:rPr>
          <w:rFonts w:hint="eastAsia" w:ascii="仿宋_GB2312" w:hAnsi="ˎ̥" w:eastAsia="仿宋_GB2312"/>
          <w:b/>
          <w:sz w:val="32"/>
          <w:szCs w:val="32"/>
          <w:lang w:val="en-US" w:eastAsia="zh-CN"/>
        </w:rPr>
        <w:t>.</w:t>
      </w:r>
      <w:r>
        <w:rPr>
          <w:rFonts w:hint="eastAsia" w:ascii="仿宋_GB2312" w:hAnsi="ˎ̥" w:eastAsia="仿宋_GB2312"/>
          <w:b/>
          <w:sz w:val="32"/>
          <w:szCs w:val="32"/>
        </w:rPr>
        <w:t>一般公共服务（类）组织事务（款）其他组织事务支出（项）。</w:t>
      </w:r>
      <w:r>
        <w:rPr>
          <w:rFonts w:hint="eastAsia" w:ascii="仿宋_GB2312" w:hAnsi="ˎ̥" w:eastAsia="仿宋_GB2312"/>
          <w:sz w:val="32"/>
          <w:szCs w:val="32"/>
        </w:rPr>
        <w:t>年初预算为0万元，支出决算为1.10万元。主要原因是实施自由贸易港政策，增加了商务领域工作的开展。</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8</w:t>
      </w:r>
      <w:r>
        <w:rPr>
          <w:rFonts w:hint="eastAsia" w:ascii="仿宋_GB2312" w:hAnsi="ˎ̥" w:eastAsia="仿宋_GB2312"/>
          <w:b/>
          <w:sz w:val="32"/>
          <w:szCs w:val="32"/>
          <w:lang w:val="en-US" w:eastAsia="zh-CN"/>
        </w:rPr>
        <w:t>.</w:t>
      </w:r>
      <w:r>
        <w:rPr>
          <w:rFonts w:hint="eastAsia" w:ascii="仿宋_GB2312" w:hAnsi="ˎ̥" w:eastAsia="仿宋_GB2312"/>
          <w:b/>
          <w:sz w:val="32"/>
          <w:szCs w:val="32"/>
        </w:rPr>
        <w:t>社会保障和就业（类）行政事业单位养老支出（款）行政单位离退休（项）。</w:t>
      </w:r>
      <w:r>
        <w:rPr>
          <w:rFonts w:hint="eastAsia" w:ascii="仿宋_GB2312" w:hAnsi="ˎ̥" w:eastAsia="仿宋_GB2312"/>
          <w:sz w:val="32"/>
          <w:szCs w:val="32"/>
        </w:rPr>
        <w:t>年初预算为9.31万元，支出决算为13.65万元，完成年初预算的146.62%。主要原因是离退休人员对个人和家庭的补助增加。</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9</w:t>
      </w:r>
      <w:r>
        <w:rPr>
          <w:rFonts w:hint="eastAsia" w:ascii="仿宋_GB2312" w:hAnsi="ˎ̥" w:eastAsia="仿宋_GB2312"/>
          <w:b/>
          <w:sz w:val="32"/>
          <w:szCs w:val="32"/>
          <w:lang w:val="en-US" w:eastAsia="zh-CN"/>
        </w:rPr>
        <w:t>.</w:t>
      </w:r>
      <w:r>
        <w:rPr>
          <w:rFonts w:hint="eastAsia" w:ascii="仿宋_GB2312" w:hAnsi="ˎ̥" w:eastAsia="仿宋_GB2312"/>
          <w:b/>
          <w:sz w:val="32"/>
          <w:szCs w:val="32"/>
        </w:rPr>
        <w:t>社会保障和就业（类）行政事业单位养老支出（款）机关事业单位基本养老保险缴费支出（项）。</w:t>
      </w:r>
      <w:r>
        <w:rPr>
          <w:rFonts w:hint="eastAsia" w:ascii="仿宋_GB2312" w:hAnsi="ˎ̥" w:eastAsia="仿宋_GB2312"/>
          <w:sz w:val="32"/>
          <w:szCs w:val="32"/>
        </w:rPr>
        <w:t>年初预算为111.09万元，支出决算为92.18万元，完成年初预算的82.98%。主要原因是海口市商务局本级和下属单位网点办机关工资福利支出减少。</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lang w:val="en-US" w:eastAsia="zh-CN"/>
        </w:rPr>
        <w:t>0.</w:t>
      </w:r>
      <w:r>
        <w:rPr>
          <w:rFonts w:hint="eastAsia" w:ascii="仿宋_GB2312" w:hAnsi="ˎ̥" w:eastAsia="仿宋_GB2312"/>
          <w:b/>
          <w:sz w:val="32"/>
          <w:szCs w:val="32"/>
        </w:rPr>
        <w:t>社会保障和就业（类）行政事业单位养老支出（款）机关事业单位职业年</w:t>
      </w:r>
      <w:r>
        <w:rPr>
          <w:rFonts w:hint="eastAsia" w:ascii="仿宋_GB2312" w:hAnsi="ˎ̥" w:eastAsia="仿宋_GB2312"/>
          <w:b/>
          <w:sz w:val="32"/>
          <w:szCs w:val="32"/>
        </w:rPr>
        <w:tab/>
      </w:r>
      <w:r>
        <w:rPr>
          <w:rFonts w:hint="eastAsia" w:ascii="仿宋_GB2312" w:hAnsi="ˎ̥" w:eastAsia="仿宋_GB2312"/>
          <w:b/>
          <w:sz w:val="32"/>
          <w:szCs w:val="32"/>
        </w:rPr>
        <w:t>金缴费支出（项）。</w:t>
      </w:r>
      <w:r>
        <w:rPr>
          <w:rFonts w:hint="eastAsia" w:ascii="仿宋_GB2312" w:hAnsi="ˎ̥" w:eastAsia="仿宋_GB2312"/>
          <w:sz w:val="32"/>
          <w:szCs w:val="32"/>
        </w:rPr>
        <w:t>年初预算为0万元，支出决算为7.69万元。主要原因是增加了按海财旅</w:t>
      </w:r>
      <w:r>
        <w:rPr>
          <w:rFonts w:hint="eastAsia" w:ascii="仿宋_GB2312" w:hAnsi="ˎ̥" w:eastAsia="仿宋_GB2312"/>
          <w:sz w:val="32"/>
          <w:szCs w:val="32"/>
          <w:lang w:eastAsia="zh"/>
        </w:rPr>
        <w:t>[2020]1839</w:t>
      </w:r>
      <w:r>
        <w:rPr>
          <w:rFonts w:hint="eastAsia" w:ascii="仿宋_GB2312" w:hAnsi="ˎ̥" w:eastAsia="仿宋_GB2312"/>
          <w:sz w:val="32"/>
          <w:szCs w:val="32"/>
        </w:rPr>
        <w:t>号文件要求缴费支出机关事业单位职业年金。</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1</w:t>
      </w:r>
      <w:r>
        <w:rPr>
          <w:rFonts w:hint="eastAsia" w:ascii="仿宋_GB2312" w:hAnsi="ˎ̥" w:eastAsia="仿宋_GB2312"/>
          <w:b/>
          <w:sz w:val="32"/>
          <w:szCs w:val="32"/>
        </w:rPr>
        <w:t>.社会保障和就业（类）行政事业单位养老支出（款）其他行政事业单位养老支出（项）。</w:t>
      </w:r>
      <w:r>
        <w:rPr>
          <w:rFonts w:hint="eastAsia" w:ascii="仿宋_GB2312" w:hAnsi="ˎ̥" w:eastAsia="仿宋_GB2312"/>
          <w:sz w:val="32"/>
          <w:szCs w:val="32"/>
        </w:rPr>
        <w:t>年初预算为39.18万元，支出决算为45.72万元，完成年初预算的116.69%。主要原因是增加了海财旅</w:t>
      </w:r>
      <w:r>
        <w:rPr>
          <w:rFonts w:hint="eastAsia" w:ascii="仿宋_GB2312" w:hAnsi="ˎ̥" w:eastAsia="仿宋_GB2312"/>
          <w:sz w:val="32"/>
          <w:szCs w:val="32"/>
          <w:lang w:eastAsia="zh"/>
        </w:rPr>
        <w:t>[2020]5124</w:t>
      </w:r>
      <w:r>
        <w:rPr>
          <w:rFonts w:hint="eastAsia" w:ascii="仿宋_GB2312" w:hAnsi="ˎ̥" w:eastAsia="仿宋_GB2312"/>
          <w:sz w:val="32"/>
          <w:szCs w:val="32"/>
        </w:rPr>
        <w:t>号文件要求对个人和家庭补助。</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2</w:t>
      </w:r>
      <w:r>
        <w:rPr>
          <w:rFonts w:hint="eastAsia" w:ascii="仿宋_GB2312" w:hAnsi="ˎ̥" w:eastAsia="仿宋_GB2312"/>
          <w:b/>
          <w:sz w:val="32"/>
          <w:szCs w:val="32"/>
        </w:rPr>
        <w:t>.社会保障和就业（类）抚恤（款）其他优抚支出（项）。</w:t>
      </w:r>
      <w:r>
        <w:rPr>
          <w:rFonts w:hint="eastAsia" w:ascii="仿宋_GB2312" w:hAnsi="ˎ̥" w:eastAsia="仿宋_GB2312"/>
          <w:sz w:val="32"/>
          <w:szCs w:val="32"/>
        </w:rPr>
        <w:t>年初预算为1.48万元，支出决算为1.37万元，完成年初预算的92.57%。主要原因是海口市商务局本级对其他人员支出的个人和家庭的补助减少。</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3</w:t>
      </w:r>
      <w:r>
        <w:rPr>
          <w:rFonts w:hint="eastAsia" w:ascii="仿宋_GB2312" w:hAnsi="ˎ̥" w:eastAsia="仿宋_GB2312"/>
          <w:b/>
          <w:sz w:val="32"/>
          <w:szCs w:val="32"/>
        </w:rPr>
        <w:t>.卫生健康（类）公共卫生（款）基本公共卫生服务（项）。</w:t>
      </w:r>
      <w:r>
        <w:rPr>
          <w:rFonts w:hint="eastAsia" w:ascii="仿宋_GB2312" w:hAnsi="ˎ̥" w:eastAsia="仿宋_GB2312"/>
          <w:sz w:val="32"/>
          <w:szCs w:val="32"/>
        </w:rPr>
        <w:t>年初预算为0万元，支出决算为5000.00万元。原因是增加了新型冠状病毒感染肺炎疫情防控物资采购资金。</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4</w:t>
      </w:r>
      <w:r>
        <w:rPr>
          <w:rFonts w:hint="eastAsia" w:ascii="仿宋_GB2312" w:hAnsi="ˎ̥" w:eastAsia="仿宋_GB2312"/>
          <w:b/>
          <w:sz w:val="32"/>
          <w:szCs w:val="32"/>
        </w:rPr>
        <w:t>.卫生健康（类）公共卫生（款）重大公共卫生服务（项）。</w:t>
      </w:r>
      <w:r>
        <w:rPr>
          <w:rFonts w:hint="eastAsia" w:ascii="仿宋_GB2312" w:hAnsi="ˎ̥" w:eastAsia="仿宋_GB2312"/>
          <w:sz w:val="32"/>
          <w:szCs w:val="32"/>
        </w:rPr>
        <w:t>年初预算为0万元，支出决算为4914.85万元。原因是增加了新型冠状病毒感染肺炎疫情防控物资采购资金。</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5</w:t>
      </w:r>
      <w:r>
        <w:rPr>
          <w:rFonts w:hint="eastAsia" w:ascii="仿宋_GB2312" w:hAnsi="ˎ̥" w:eastAsia="仿宋_GB2312"/>
          <w:b/>
          <w:sz w:val="32"/>
          <w:szCs w:val="32"/>
        </w:rPr>
        <w:t>.卫生健康（类）行政事业单位医疗（款）行政单位医疗（项）。</w:t>
      </w:r>
      <w:r>
        <w:rPr>
          <w:rFonts w:hint="eastAsia" w:ascii="仿宋_GB2312" w:hAnsi="ˎ̥" w:eastAsia="仿宋_GB2312"/>
          <w:sz w:val="32"/>
          <w:szCs w:val="32"/>
        </w:rPr>
        <w:t>年初预算为43.63万元，支出决算为36.68万元。完成年初预算的84.07%。主要原因是海口市商务局本级和下属单位网点办的公务员医疗保险减少。</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6</w:t>
      </w:r>
      <w:r>
        <w:rPr>
          <w:rFonts w:hint="eastAsia" w:ascii="仿宋_GB2312" w:hAnsi="ˎ̥" w:eastAsia="仿宋_GB2312"/>
          <w:b/>
          <w:sz w:val="32"/>
          <w:szCs w:val="32"/>
        </w:rPr>
        <w:t>.卫生健康（类）行政事业单位医疗（款）事业单位医疗（项）。</w:t>
      </w:r>
      <w:r>
        <w:rPr>
          <w:rFonts w:hint="eastAsia" w:ascii="仿宋_GB2312" w:hAnsi="ˎ̥" w:eastAsia="仿宋_GB2312"/>
          <w:sz w:val="32"/>
          <w:szCs w:val="32"/>
        </w:rPr>
        <w:t>年初预算为15.38万元，支出决算为12.30万元。完成年初预算的79.97%。主要原因是下属单位海口市商务综合执法支队2020年10月已辙消。</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7</w:t>
      </w:r>
      <w:r>
        <w:rPr>
          <w:rFonts w:hint="eastAsia" w:ascii="仿宋_GB2312" w:hAnsi="ˎ̥" w:eastAsia="仿宋_GB2312"/>
          <w:b/>
          <w:sz w:val="32"/>
          <w:szCs w:val="32"/>
        </w:rPr>
        <w:t>.卫生健康（类）行政事业单位医疗（款）公务员医疗补助（项）。</w:t>
      </w:r>
      <w:r>
        <w:rPr>
          <w:rFonts w:hint="eastAsia" w:ascii="仿宋_GB2312" w:hAnsi="ˎ̥" w:eastAsia="仿宋_GB2312"/>
          <w:sz w:val="32"/>
          <w:szCs w:val="32"/>
        </w:rPr>
        <w:t>年初预算为48.56万元，支出决算为48.56万元，完成年初预算的100%。</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8</w:t>
      </w:r>
      <w:r>
        <w:rPr>
          <w:rFonts w:hint="eastAsia" w:ascii="仿宋_GB2312" w:hAnsi="ˎ̥" w:eastAsia="仿宋_GB2312"/>
          <w:b/>
          <w:sz w:val="32"/>
          <w:szCs w:val="32"/>
        </w:rPr>
        <w:t>.卫生健康（类）行政事业单位医疗（款）其他行政事业单位医疗支出（项）。</w:t>
      </w:r>
      <w:r>
        <w:rPr>
          <w:rFonts w:hint="eastAsia" w:ascii="仿宋_GB2312" w:hAnsi="ˎ̥" w:eastAsia="仿宋_GB2312"/>
          <w:sz w:val="32"/>
          <w:szCs w:val="32"/>
        </w:rPr>
        <w:t>年初预算为20.87万元，支出决算为30.09万元，完成年初预算的144.18%。主要原因是外聘工作人员增加。</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w:t>
      </w:r>
      <w:r>
        <w:rPr>
          <w:rFonts w:hint="eastAsia" w:ascii="仿宋_GB2312" w:hAnsi="ˎ̥" w:eastAsia="仿宋_GB2312"/>
          <w:b/>
          <w:sz w:val="32"/>
          <w:szCs w:val="32"/>
          <w:lang w:val="en-US" w:eastAsia="zh-CN"/>
        </w:rPr>
        <w:t>9</w:t>
      </w:r>
      <w:r>
        <w:rPr>
          <w:rFonts w:hint="eastAsia" w:ascii="仿宋_GB2312" w:hAnsi="ˎ̥" w:eastAsia="仿宋_GB2312"/>
          <w:b/>
          <w:sz w:val="32"/>
          <w:szCs w:val="32"/>
        </w:rPr>
        <w:t>.城乡社区（类）其他城乡社区支出（款）其他城乡社区支出（项）。</w:t>
      </w:r>
      <w:r>
        <w:rPr>
          <w:rFonts w:hint="eastAsia" w:ascii="仿宋_GB2312" w:hAnsi="ˎ̥" w:eastAsia="仿宋_GB2312"/>
          <w:sz w:val="32"/>
          <w:szCs w:val="32"/>
        </w:rPr>
        <w:t>年初预算为0万元，支出决算为4524.24万元，原因是增加了会展扩建二期的建设项目支出。</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2</w:t>
      </w:r>
      <w:r>
        <w:rPr>
          <w:rFonts w:hint="eastAsia" w:ascii="仿宋_GB2312" w:hAnsi="ˎ̥" w:eastAsia="仿宋_GB2312"/>
          <w:b/>
          <w:sz w:val="32"/>
          <w:szCs w:val="32"/>
          <w:lang w:val="en-US" w:eastAsia="zh-CN"/>
        </w:rPr>
        <w:t>0</w:t>
      </w:r>
      <w:r>
        <w:rPr>
          <w:rFonts w:hint="eastAsia" w:ascii="仿宋_GB2312" w:hAnsi="ˎ̥" w:eastAsia="仿宋_GB2312"/>
          <w:b/>
          <w:sz w:val="32"/>
          <w:szCs w:val="32"/>
        </w:rPr>
        <w:t>.商业服务业（类）商业流通事务（款）其他商业流通事务支出（项）。</w:t>
      </w:r>
      <w:r>
        <w:rPr>
          <w:rFonts w:hint="eastAsia" w:ascii="仿宋_GB2312" w:hAnsi="ˎ̥" w:eastAsia="仿宋_GB2312"/>
          <w:sz w:val="32"/>
          <w:szCs w:val="32"/>
        </w:rPr>
        <w:t>年初预算为0万元，支出决算为92.16万元。主要原因是实施自由贸易港政策，增加了商务领域工作的开展。</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2</w:t>
      </w:r>
      <w:r>
        <w:rPr>
          <w:rFonts w:hint="eastAsia" w:ascii="仿宋_GB2312" w:hAnsi="ˎ̥" w:eastAsia="仿宋_GB2312"/>
          <w:b/>
          <w:sz w:val="32"/>
          <w:szCs w:val="32"/>
          <w:lang w:val="en-US" w:eastAsia="zh-CN"/>
        </w:rPr>
        <w:t>1</w:t>
      </w:r>
      <w:r>
        <w:rPr>
          <w:rFonts w:hint="eastAsia" w:ascii="仿宋_GB2312" w:hAnsi="ˎ̥" w:eastAsia="仿宋_GB2312"/>
          <w:b/>
          <w:sz w:val="32"/>
          <w:szCs w:val="32"/>
        </w:rPr>
        <w:t>.住房保障（类）住房改革支出（款）住房公积金（项）。</w:t>
      </w:r>
      <w:r>
        <w:rPr>
          <w:rFonts w:hint="eastAsia" w:ascii="仿宋_GB2312" w:hAnsi="ˎ̥" w:eastAsia="仿宋_GB2312"/>
          <w:sz w:val="32"/>
          <w:szCs w:val="32"/>
        </w:rPr>
        <w:t>年初预算为77.05万元，支出决算为78.35万元，完成年初预算的101.69%。主要原因是增加了海口市商务局本级按海财库支[2020]90号文件要求的住房公积金。</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2</w:t>
      </w:r>
      <w:r>
        <w:rPr>
          <w:rFonts w:hint="eastAsia" w:ascii="仿宋_GB2312" w:hAnsi="ˎ̥" w:eastAsia="仿宋_GB2312"/>
          <w:b/>
          <w:sz w:val="32"/>
          <w:szCs w:val="32"/>
          <w:lang w:val="en-US" w:eastAsia="zh-CN"/>
        </w:rPr>
        <w:t>2</w:t>
      </w:r>
      <w:r>
        <w:rPr>
          <w:rFonts w:hint="eastAsia" w:ascii="仿宋_GB2312" w:hAnsi="ˎ̥" w:eastAsia="仿宋_GB2312"/>
          <w:b/>
          <w:sz w:val="32"/>
          <w:szCs w:val="32"/>
        </w:rPr>
        <w:t>.住房保障（类）住房改革支出（款）购房补贴（项）。</w:t>
      </w:r>
      <w:r>
        <w:rPr>
          <w:rFonts w:hint="eastAsia" w:ascii="仿宋_GB2312" w:hAnsi="ˎ̥" w:eastAsia="仿宋_GB2312"/>
          <w:sz w:val="32"/>
          <w:szCs w:val="32"/>
        </w:rPr>
        <w:t>年初预算为0万元，支出决算为0.32万元。主要原因是增加了下属单位海口市商务综合执法支队按海财综</w:t>
      </w:r>
      <w:r>
        <w:rPr>
          <w:rFonts w:hint="eastAsia" w:ascii="仿宋_GB2312" w:hAnsi="ˎ̥" w:eastAsia="仿宋_GB2312"/>
          <w:sz w:val="32"/>
          <w:szCs w:val="32"/>
          <w:lang w:eastAsia="zh"/>
        </w:rPr>
        <w:t>[2020]2195</w:t>
      </w:r>
      <w:r>
        <w:rPr>
          <w:rFonts w:hint="eastAsia" w:ascii="仿宋_GB2312" w:hAnsi="ˎ̥" w:eastAsia="仿宋_GB2312"/>
          <w:sz w:val="32"/>
          <w:szCs w:val="32"/>
        </w:rPr>
        <w:t>号文件要求的购房补贴。</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（本部分支出决算数字可取自财决公开05表，年初预算数可取自各部门（单位）年初预算大本，根据各部门（单位）实际支出涉及的支出功能分类项级科目填列）。</w:t>
      </w:r>
    </w:p>
    <w:p>
      <w:pPr>
        <w:ind w:firstLine="627" w:firstLineChars="196"/>
        <w:rPr>
          <w:rFonts w:hint="eastAsia"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2020年度财政拨款基本支出1363.04万元，其中：人员经费1211.17万元，主要包括：基本工资、津贴补贴、奖金、伙食补助费、绩效工资、住房公积金、公务员医疗补助缴费、职工基本医疗保险缴费、其他工资福利支出等、离休费、生活补助、救济费、医疗费补助、奖励金、其他对个人和家庭的补助支出等。公用经费151.87万元，主要包括：办公费、印刷费、手续费、水费、电费、邮电费、物业管理费、差旅费、维修（护）费、租赁费、培训费、公务接待费、劳务费、委托业务费、工会经费、公务用车运行维护费、其他交通费用、税金及附加费用、其他商品和服务支出。</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（上述数字可取自财决公开06表，各部门（单位）根据实际支出情况，选列相应支出经济分类。）</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2020年度政府性基金预算财政拨款支出90217.43万元，占本年支出合计的59.32%。与2019年度相比，政府性基金预算财政拨款支出增加64659.71万元，增长252.99%，主要原因是其他地方自行试点项目收益专项债券收入安排的支出增加了59468.33万元，用于会展扩建二期建设项目支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2020年度政府性基金预算财政拨款支出90217.43万元，主要用于以下方面：</w:t>
      </w:r>
      <w:r>
        <w:rPr>
          <w:rFonts w:hint="eastAsia" w:ascii="仿宋_GB2312" w:hAnsi="ˎ̥" w:eastAsia="仿宋_GB2312"/>
          <w:b/>
          <w:bCs/>
          <w:sz w:val="32"/>
          <w:szCs w:val="32"/>
        </w:rPr>
        <w:t>城乡社区</w:t>
      </w:r>
      <w:r>
        <w:rPr>
          <w:rFonts w:hint="eastAsia" w:ascii="仿宋_GB2312" w:hAnsi="ˎ̥" w:eastAsia="仿宋_GB2312"/>
          <w:b/>
          <w:sz w:val="32"/>
          <w:szCs w:val="32"/>
        </w:rPr>
        <w:t>（类）</w:t>
      </w:r>
      <w:r>
        <w:rPr>
          <w:rFonts w:hint="eastAsia" w:ascii="仿宋_GB2312" w:hAnsi="ˎ̥" w:eastAsia="仿宋_GB2312"/>
          <w:sz w:val="32"/>
          <w:szCs w:val="32"/>
        </w:rPr>
        <w:t>支出1800万元，占2.00%；</w:t>
      </w:r>
      <w:r>
        <w:rPr>
          <w:rFonts w:hint="eastAsia" w:ascii="仿宋_GB2312" w:hAnsi="ˎ̥" w:eastAsia="仿宋_GB2312"/>
          <w:b/>
          <w:bCs/>
          <w:sz w:val="32"/>
          <w:szCs w:val="32"/>
        </w:rPr>
        <w:t>其他</w:t>
      </w:r>
      <w:r>
        <w:rPr>
          <w:rFonts w:hint="eastAsia" w:ascii="仿宋_GB2312" w:hAnsi="ˎ̥" w:eastAsia="仿宋_GB2312"/>
          <w:b/>
          <w:sz w:val="32"/>
          <w:szCs w:val="32"/>
        </w:rPr>
        <w:t>（类）</w:t>
      </w:r>
      <w:r>
        <w:rPr>
          <w:rFonts w:hint="eastAsia" w:ascii="仿宋_GB2312" w:hAnsi="ˎ̥" w:eastAsia="仿宋_GB2312"/>
          <w:sz w:val="32"/>
          <w:szCs w:val="32"/>
        </w:rPr>
        <w:t>支出78417.43万元，占86.92%；</w:t>
      </w:r>
      <w:r>
        <w:rPr>
          <w:rFonts w:hint="eastAsia" w:ascii="仿宋_GB2312" w:hAnsi="ˎ̥" w:eastAsia="仿宋_GB2312"/>
          <w:b/>
          <w:bCs/>
          <w:sz w:val="32"/>
          <w:szCs w:val="32"/>
        </w:rPr>
        <w:t>抗疫特别国债安排的支出（类）</w:t>
      </w:r>
      <w:r>
        <w:rPr>
          <w:rFonts w:hint="eastAsia" w:ascii="仿宋_GB2312" w:hAnsi="ˎ̥" w:eastAsia="仿宋_GB2312"/>
          <w:sz w:val="32"/>
          <w:szCs w:val="32"/>
        </w:rPr>
        <w:t>支出10000万元，占11.08%。</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2020年度政府性基金预算财政拨款支出年初预算为0万元，支出决算为90217.43万元。</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1.</w:t>
      </w:r>
      <w:r>
        <w:rPr>
          <w:rFonts w:hint="eastAsia" w:ascii="仿宋_GB2312" w:hAnsi="ˎ̥" w:eastAsia="仿宋_GB2312"/>
          <w:b/>
          <w:bCs/>
          <w:sz w:val="32"/>
          <w:szCs w:val="32"/>
        </w:rPr>
        <w:t>城乡社区</w:t>
      </w:r>
      <w:r>
        <w:rPr>
          <w:rFonts w:hint="eastAsia" w:ascii="仿宋_GB2312" w:hAnsi="ˎ̥" w:eastAsia="仿宋_GB2312"/>
          <w:b/>
          <w:sz w:val="32"/>
          <w:szCs w:val="32"/>
        </w:rPr>
        <w:t>（类）</w:t>
      </w:r>
      <w:r>
        <w:rPr>
          <w:rFonts w:hint="eastAsia" w:ascii="仿宋_GB2312" w:hAnsi="ˎ̥" w:eastAsia="仿宋_GB2312"/>
          <w:b/>
          <w:bCs/>
          <w:sz w:val="32"/>
          <w:szCs w:val="32"/>
        </w:rPr>
        <w:t>国有土地使用权出让收入安排的支出（款）其他国有土地使用权出让收入安排的支出（项）。</w:t>
      </w:r>
      <w:r>
        <w:rPr>
          <w:rFonts w:hint="eastAsia" w:ascii="仿宋_GB2312" w:hAnsi="ˎ̥" w:eastAsia="仿宋_GB2312"/>
          <w:sz w:val="32"/>
          <w:szCs w:val="32"/>
        </w:rPr>
        <w:t>年初预算为0万元，支出决算为1800.00万元，决算数大于预算数的主要原因是增加了会展扩建二期建设项目支出1800.00万元。</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w:t>
      </w:r>
      <w:r>
        <w:rPr>
          <w:rFonts w:hint="eastAsia" w:ascii="仿宋_GB2312" w:hAnsi="ˎ̥" w:eastAsia="仿宋_GB2312"/>
          <w:b/>
          <w:bCs/>
          <w:sz w:val="32"/>
          <w:szCs w:val="32"/>
        </w:rPr>
        <w:t>其他</w:t>
      </w:r>
      <w:r>
        <w:rPr>
          <w:rFonts w:hint="eastAsia" w:ascii="仿宋_GB2312" w:hAnsi="ˎ̥" w:eastAsia="仿宋_GB2312"/>
          <w:b/>
          <w:sz w:val="32"/>
          <w:szCs w:val="32"/>
        </w:rPr>
        <w:t>（类）</w:t>
      </w:r>
      <w:r>
        <w:rPr>
          <w:rFonts w:hint="eastAsia" w:ascii="仿宋_GB2312" w:hAnsi="ˎ̥" w:eastAsia="仿宋_GB2312"/>
          <w:b/>
          <w:bCs/>
          <w:sz w:val="32"/>
          <w:szCs w:val="32"/>
        </w:rPr>
        <w:t>其他政府性基金及对应专项债务收入安排的支出（款）其他地方自行试点项目收益专项债券收入安排的支出（项）。</w:t>
      </w:r>
      <w:r>
        <w:rPr>
          <w:rFonts w:hint="eastAsia" w:ascii="仿宋_GB2312" w:hAnsi="ˎ̥" w:eastAsia="仿宋_GB2312"/>
          <w:sz w:val="32"/>
          <w:szCs w:val="32"/>
        </w:rPr>
        <w:t>年初预算为0万元，支出决算为78417.43万元，决算数大于预算数的主要原因是增加了会展扩建二期建设项目支出78417.43万元。</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3.</w:t>
      </w:r>
      <w:r>
        <w:rPr>
          <w:rFonts w:hint="eastAsia" w:ascii="仿宋_GB2312" w:hAnsi="ˎ̥" w:eastAsia="仿宋_GB2312"/>
          <w:b/>
          <w:bCs/>
          <w:sz w:val="32"/>
          <w:szCs w:val="32"/>
        </w:rPr>
        <w:t>抗疫特别国债安排的支出（</w:t>
      </w:r>
      <w:r>
        <w:rPr>
          <w:rFonts w:hint="eastAsia" w:ascii="仿宋_GB2312" w:hAnsi="ˎ̥" w:eastAsia="仿宋_GB2312"/>
          <w:b/>
          <w:sz w:val="32"/>
          <w:szCs w:val="32"/>
        </w:rPr>
        <w:t>类</w:t>
      </w:r>
      <w:r>
        <w:rPr>
          <w:rFonts w:hint="eastAsia" w:ascii="仿宋_GB2312" w:hAnsi="ˎ̥" w:eastAsia="仿宋_GB2312"/>
          <w:b/>
          <w:bCs/>
          <w:sz w:val="32"/>
          <w:szCs w:val="32"/>
        </w:rPr>
        <w:t>）基础设施建设（款）其他基础设施建设（项）。</w:t>
      </w:r>
      <w:r>
        <w:rPr>
          <w:rFonts w:hint="eastAsia" w:ascii="仿宋_GB2312" w:hAnsi="ˎ̥" w:eastAsia="仿宋_GB2312"/>
          <w:sz w:val="32"/>
          <w:szCs w:val="32"/>
        </w:rPr>
        <w:t>年初预算为0万元，支出决算为10000.00万元，决算数大于预算数的主要原因是增加了会展扩建二期建设项目支出10000万元。</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（根据各部门（单位）实际支出涉及的支出功能分类项级科目填列，本部分2020年决算相关数据取自财决公开07表；2019年决算相关数据取自财决09表《政府性基金预算财政拨款收入支出决算表》）。</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支出0万元，占本年支出合计的0%。与2019年度相比，国有资本经营预算财政拨款支出增加（减少）0万元，增长（下降）0%。（2020年度国有资本经营预算收支首次公开，可选择不做上下年对比）</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2020年度国有资本经营预算财政拨款支出0万元。（根据各部门（单位）实际支出涉及的支出功能分类类级科目填列）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2020年度国有资本经营预算财政拨款支出年初预算为0万元，支出决算为0万元。</w:t>
      </w:r>
    </w:p>
    <w:p>
      <w:pPr>
        <w:ind w:firstLine="640" w:firstLineChars="200"/>
        <w:rPr>
          <w:rFonts w:hint="eastAsia" w:ascii="仿宋_GB2312" w:hAnsi="ˎ̥" w:eastAsia="仿宋_GB2312"/>
          <w:sz w:val="32"/>
          <w:szCs w:val="32"/>
          <w:lang w:eastAsia="zh"/>
        </w:rPr>
      </w:pPr>
      <w:r>
        <w:rPr>
          <w:rFonts w:hint="eastAsia" w:ascii="仿宋_GB2312" w:hAnsi="ˎ̥" w:eastAsia="仿宋_GB2312"/>
          <w:sz w:val="32"/>
          <w:szCs w:val="32"/>
        </w:rPr>
        <w:t>本部门无此项预算。</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（根据各部门（单位）实际支出涉及的支出功能分类项级科目填列，本部分2020年决算相关数据取自财决公开08表）。</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rPr>
        <w:t xml:space="preserve">    2020年度一般公共预算财政拨款“三公”经费支出预算为29.02万元，支出决算为5.64万元，完成预算的19.43%。</w:t>
      </w:r>
    </w:p>
    <w:p>
      <w:pPr>
        <w:rPr>
          <w:rFonts w:hint="eastAsia"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2020年度一般公共预算财政拨款“三公”经费支出决算中，因公出国（境）费支出决算0.65万元，占11.52%；公务用车购置及运行费支出决算4.67万元，占82.80%；公务接待费支出决算0.32万元，占5.67%。具体情况如下：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支出0.65万元。全年安排因公出国（境）团组1个，因公出国（境）1人次。开支内容包括：</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2020年1月22日支出0.65万元。主要用于林山赴澳门第八届公务航空展差旅费。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因公出国（境）费支出决算比预算数减少14.35万元，下降95.67%。主要原因是新冠病毒肺炎感染疫情防控的影响，减少出国交流考察的工作安排。</w:t>
      </w:r>
    </w:p>
    <w:p>
      <w:pPr>
        <w:rPr>
          <w:rFonts w:hint="eastAsia"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rPr>
        <w:t>4.67万元。其中：</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0万元，全年购置公务用车0辆，年末公务用车保有量1辆。</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支出4.67万元，主要用于支付车辆燃料费、保险费、车辆维护费等。</w:t>
      </w:r>
    </w:p>
    <w:p>
      <w:pPr>
        <w:ind w:firstLine="640" w:firstLineChars="200"/>
        <w:rPr>
          <w:rFonts w:hint="eastAsia"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比预算数减少8.35万元，下降64.13%，主要原因是秉着节约的原则，严格控制支出。</w:t>
      </w:r>
    </w:p>
    <w:p>
      <w:pPr>
        <w:rPr>
          <w:rFonts w:hint="eastAsia"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rPr>
        <w:t>0.32万元，其中：</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国内接待费</w:t>
      </w:r>
      <w:r>
        <w:rPr>
          <w:rFonts w:hint="eastAsia" w:ascii="仿宋_GB2312" w:hAnsi="ˎ̥" w:eastAsia="仿宋_GB2312"/>
          <w:sz w:val="32"/>
          <w:szCs w:val="32"/>
        </w:rPr>
        <w:t>支出0.32万元，国内公务接待3批次，接待27人次；主要用于①中国国际投资贸易洽谈组委会会务部考察座谈；②广州南沙经济开发区商务局开展商务及服务贸易发展“十四五”规划专题调研工作午餐费；③济南市商务局考察座谈。</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国（境）外接待费支出0万元，国（境）外公务接待0批次，接待0人次。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公务接待费支出决算数比预算数减少0.68万元，下降68.00%。主要原因是新冠病毒肺炎感染疫情防控的影响，减少交流考察的工作接待。</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（2020年度“三公”经费预算数、决算数可取自附件财决公开09表，2020年的出国团组数、出国人次，公务用车购置数、公务用车保有量，接待团组数、接待人次可取自部门决算报表F03表《机构运行信息表》）。</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2020年度政府性基金预算财政拨款“三公”经费支出合计0万元。其中：因公出国（境）费支出决算0万元，占0%；公务用车购置及运行费支出决算0万元，占0%；公务接待费支出决算0万元，占0%。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本部门无此预算。</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（本部分决算公开数字取自财决公开10表）</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本部门无此项预算。</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（本部分决算公开数字取自财决公开11表）</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根据财政预算绩效管理要求，可按照如下格式说明：根据财政预算管理要求，我部门（单位）组织对2020年度一般公共预算项目支出全面开展绩效自评。自评项目18个，共涉及资金55454.00万元，自评覆盖率达到100%。</w:t>
      </w:r>
    </w:p>
    <w:p>
      <w:pPr>
        <w:ind w:firstLine="640" w:firstLineChars="200"/>
        <w:rPr>
          <w:rFonts w:hint="eastAsia" w:ascii="仿宋_GB2312" w:eastAsia="仿宋_GB2312"/>
          <w:sz w:val="32"/>
          <w:szCs w:val="32"/>
        </w:rPr>
      </w:pPr>
      <w:r>
        <w:rPr>
          <w:rFonts w:hint="eastAsia" w:ascii="仿宋_GB2312" w:eastAsia="仿宋_GB2312"/>
          <w:sz w:val="32"/>
          <w:szCs w:val="32"/>
        </w:rPr>
        <w:t>共组织对“综合事务”、“内外贸及会展监管”、“家庭服务业扶持奖励”等18个项目开展了部门评价，涉及资金55454.00万元。从评价情况来看，项目经费能够按照规定开支，资金支出较为规范、及时，取得了较好的效果。</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（二）部门决算中项目绩效自评结果。（如有）</w:t>
      </w:r>
    </w:p>
    <w:p>
      <w:pPr>
        <w:ind w:firstLine="640" w:firstLineChars="200"/>
        <w:rPr>
          <w:rFonts w:hint="eastAsia" w:ascii="仿宋_GB2312" w:eastAsia="仿宋_GB2312"/>
          <w:sz w:val="32"/>
          <w:szCs w:val="32"/>
        </w:rPr>
      </w:pPr>
      <w:r>
        <w:rPr>
          <w:rFonts w:hint="eastAsia" w:ascii="仿宋_GB2312" w:eastAsia="仿宋_GB2312"/>
          <w:sz w:val="32"/>
          <w:szCs w:val="32"/>
        </w:rPr>
        <w:t>我部门（单位）今年在省本级部门决算中反映内外贸及会展监管项目绩效自评结果。</w:t>
      </w:r>
    </w:p>
    <w:p>
      <w:pPr>
        <w:ind w:firstLine="640" w:firstLineChars="200"/>
        <w:rPr>
          <w:rFonts w:hint="eastAsia" w:ascii="仿宋_GB2312" w:eastAsia="仿宋_GB2312"/>
          <w:sz w:val="32"/>
          <w:szCs w:val="32"/>
        </w:rPr>
      </w:pPr>
      <w:r>
        <w:rPr>
          <w:rFonts w:hint="eastAsia" w:ascii="仿宋_GB2312" w:eastAsia="仿宋_GB2312"/>
          <w:sz w:val="32"/>
          <w:szCs w:val="32"/>
        </w:rPr>
        <w:t>内外贸及会展监管项目绩效自评综述：根据年初设定的绩效目标，项目自评得分为97分。全年预算数为728万元，执行数为670.75万元，完成预算的92.14%。发现的主要问题及原因：绩效项目阶段性目标未全部达成。下一步改进措施：对预算执行及项目进度的管理和督导，全面掌握预算执行及项目进度的情况。</w:t>
      </w:r>
    </w:p>
    <w:p>
      <w:pPr>
        <w:numPr>
          <w:ilvl w:val="0"/>
          <w:numId w:val="3"/>
        </w:num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sz w:val="32"/>
          <w:szCs w:val="32"/>
        </w:rPr>
        <w:t>财政评价项目绩效评价结果</w:t>
      </w:r>
      <w:r>
        <w:rPr>
          <w:rFonts w:hint="eastAsia" w:ascii="楷体" w:hAnsi="楷体" w:eastAsia="楷体" w:cs="楷体"/>
          <w:b/>
          <w:bCs w:val="0"/>
          <w:sz w:val="32"/>
          <w:szCs w:val="32"/>
        </w:rPr>
        <w:t>（</w:t>
      </w:r>
      <w:r>
        <w:rPr>
          <w:rFonts w:hint="eastAsia" w:ascii="楷体" w:hAnsi="楷体" w:eastAsia="楷体" w:cs="楷体"/>
          <w:b/>
          <w:bCs w:val="0"/>
          <w:sz w:val="32"/>
          <w:szCs w:val="32"/>
          <w:lang w:eastAsia="zh-CN"/>
        </w:rPr>
        <w:t>如有则公开</w:t>
      </w:r>
      <w:r>
        <w:rPr>
          <w:rFonts w:hint="eastAsia" w:ascii="楷体" w:hAnsi="楷体" w:eastAsia="楷体" w:cs="楷体"/>
          <w:b/>
          <w:bCs w:val="0"/>
          <w:sz w:val="32"/>
          <w:szCs w:val="32"/>
        </w:rPr>
        <w:t>）。</w:t>
      </w:r>
    </w:p>
    <w:p>
      <w:pPr>
        <w:keepNext w:val="0"/>
        <w:keepLines w:val="0"/>
        <w:widowControl/>
        <w:suppressLineNumbers w:val="0"/>
        <w:jc w:val="left"/>
        <w:rPr>
          <w:rFonts w:hint="default"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    </w:t>
      </w:r>
      <w:r>
        <w:rPr>
          <w:rFonts w:hint="eastAsia" w:ascii="楷体" w:hAnsi="楷体" w:eastAsia="楷体" w:cs="楷体"/>
          <w:b w:val="0"/>
          <w:bCs/>
          <w:sz w:val="32"/>
          <w:szCs w:val="32"/>
          <w:lang w:val="en-US" w:eastAsia="zh-CN"/>
        </w:rPr>
        <w:t>市</w:t>
      </w:r>
      <w:r>
        <w:rPr>
          <w:rFonts w:hint="eastAsia" w:ascii="仿宋_GB2312" w:hAnsi="Times New Roman" w:eastAsia="仿宋_GB2312" w:cs="Times New Roman"/>
          <w:sz w:val="32"/>
          <w:szCs w:val="32"/>
          <w:highlight w:val="none"/>
          <w:lang w:val="en-US" w:eastAsia="zh-CN"/>
        </w:rPr>
        <w:t>财政对我局2018-2020年度扶持会展业发展专项资金项目进行绩效评价，评价结果为79.84分，绩效等级为中，我局对此结果进行公开，公开地址为http://hksw.haikou.gov.cn/xxgk/czgk/202203/t617088.shtml</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（四）部门评价项目绩效评价结果。</w:t>
      </w:r>
      <w:r>
        <w:rPr>
          <w:rFonts w:hint="eastAsia" w:ascii="楷体" w:hAnsi="楷体" w:eastAsia="楷体" w:cs="楷体"/>
          <w:b/>
          <w:sz w:val="32"/>
          <w:szCs w:val="32"/>
          <w:u w:val="none"/>
          <w:lang w:eastAsia="zh-CN"/>
        </w:rPr>
        <w:t>（</w:t>
      </w:r>
      <w:r>
        <w:rPr>
          <w:rFonts w:hint="eastAsia" w:ascii="楷体" w:hAnsi="楷体" w:eastAsia="楷体" w:cs="楷体"/>
          <w:b/>
          <w:bCs w:val="0"/>
          <w:sz w:val="32"/>
          <w:szCs w:val="32"/>
          <w:lang w:eastAsia="zh-CN"/>
        </w:rPr>
        <w:t>如有则公开</w:t>
      </w:r>
      <w:r>
        <w:rPr>
          <w:rFonts w:hint="eastAsia" w:ascii="楷体" w:hAnsi="楷体" w:eastAsia="楷体" w:cs="楷体"/>
          <w:b/>
          <w:sz w:val="32"/>
          <w:szCs w:val="32"/>
          <w:u w:val="none"/>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每个市本级部门至少将1个部门评价报告向社会公开，报告框架可参照《项目支出绩效评价管理办法》（财预〔2020〕10号）中的《项目支出绩效评价报告（参考提纲）》。</w:t>
      </w:r>
    </w:p>
    <w:p>
      <w:pPr>
        <w:numPr>
          <w:ilvl w:val="0"/>
          <w:numId w:val="0"/>
        </w:numPr>
        <w:spacing w:line="578" w:lineRule="exact"/>
        <w:ind w:firstLine="640" w:firstLineChars="200"/>
        <w:rPr>
          <w:rFonts w:hint="eastAsia" w:ascii="仿宋_GB2312" w:eastAsia="仿宋_GB2312"/>
          <w:sz w:val="32"/>
          <w:szCs w:val="32"/>
        </w:rPr>
      </w:pPr>
      <w:r>
        <w:rPr>
          <w:rFonts w:hint="eastAsia" w:ascii="仿宋_GB2312" w:eastAsia="仿宋_GB2312"/>
          <w:color w:val="auto"/>
          <w:sz w:val="32"/>
          <w:szCs w:val="32"/>
          <w:lang w:val="en-US" w:eastAsia="zh-CN"/>
        </w:rPr>
        <w:t>本单位</w:t>
      </w:r>
      <w:r>
        <w:rPr>
          <w:rFonts w:hint="eastAsia" w:ascii="楷体" w:hAnsi="楷体" w:eastAsia="楷体" w:cs="楷体"/>
          <w:b w:val="0"/>
          <w:bCs/>
          <w:sz w:val="32"/>
          <w:szCs w:val="32"/>
          <w:lang w:val="en-US" w:eastAsia="zh-CN"/>
        </w:rPr>
        <w:t>无此项绩效评价。</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hint="eastAsia" w:ascii="楷体" w:hAnsi="楷体" w:eastAsia="楷体" w:cs="楷体"/>
          <w:b/>
          <w:sz w:val="32"/>
          <w:szCs w:val="32"/>
        </w:rPr>
      </w:pPr>
      <w:bookmarkStart w:id="99" w:name="_Toc15565_WPSOffice_Level2"/>
      <w:bookmarkStart w:id="100" w:name="_Toc32639_WPSOffice_Level2"/>
      <w:bookmarkStart w:id="101" w:name="_Toc5978_WPSOffice_Level2"/>
      <w:bookmarkStart w:id="102" w:name="_Toc23598_WPSOffice_Level2"/>
      <w:bookmarkStart w:id="103" w:name="_Toc18325_WPSOffice_Level2"/>
      <w:bookmarkStart w:id="104" w:name="_Toc15262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海口市商务局部门（单位）机关运行经费151.87万元（为部门决算中行政单位和参公事业单位使用一般公共预算财政拨款安排的基本支出中的日常公用经费支出，事业单位没有机关运行经费支出），比年初预算万元，减少17.99万元，减少10.59%。主要原因是：其他商品和服务支出减少19.37万元,培训费减少13.10万元</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pPr>
        <w:ind w:firstLine="643" w:firstLineChars="200"/>
        <w:rPr>
          <w:rFonts w:hint="eastAsia" w:ascii="楷体" w:hAnsi="楷体" w:eastAsia="楷体" w:cs="楷体"/>
          <w:b/>
          <w:sz w:val="32"/>
          <w:szCs w:val="32"/>
        </w:rPr>
      </w:pPr>
      <w:bookmarkStart w:id="105" w:name="_Toc30383_WPSOffice_Level2"/>
      <w:bookmarkStart w:id="106" w:name="_Toc32689_WPSOffice_Level2"/>
      <w:bookmarkStart w:id="107" w:name="_Toc25333_WPSOffice_Level2"/>
      <w:bookmarkStart w:id="108" w:name="_Toc23966_WPSOffice_Level2"/>
      <w:bookmarkStart w:id="109" w:name="_Toc13084_WPSOffice_Level2"/>
      <w:bookmarkStart w:id="110" w:name="_Toc3131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2020年度海口市商务局部门（单位）政府采购支出总额8.61万元，其中：政府采购货物支出8.61万元、政府采购工程支出</w:t>
      </w:r>
      <w:r>
        <w:rPr>
          <w:rFonts w:hint="eastAsia" w:ascii="仿宋_GB2312" w:hAnsi="ˎ̥" w:eastAsia="仿宋_GB2312"/>
          <w:sz w:val="32"/>
          <w:szCs w:val="32"/>
          <w:lang w:eastAsia="zh"/>
        </w:rPr>
        <w:t>0</w:t>
      </w:r>
      <w:r>
        <w:rPr>
          <w:rFonts w:hint="eastAsia" w:ascii="仿宋_GB2312" w:hAnsi="ˎ̥" w:eastAsia="仿宋_GB2312"/>
          <w:sz w:val="32"/>
          <w:szCs w:val="32"/>
        </w:rPr>
        <w:t>万元、政府采购服务支出</w:t>
      </w:r>
      <w:r>
        <w:rPr>
          <w:rFonts w:hint="eastAsia" w:ascii="仿宋_GB2312" w:hAnsi="ˎ̥" w:eastAsia="仿宋_GB2312"/>
          <w:sz w:val="32"/>
          <w:szCs w:val="32"/>
          <w:lang w:eastAsia="zh"/>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eastAsia="zh"/>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eastAsia="zh"/>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eastAsia="zh"/>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eastAsia="zh"/>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（上述政府采购支出相关数字取自2020年度部门决算报表F03表《机构运行信息表》，授予中小企业和小微企业合同金额由各部门查阅本部门相关资料填写。）</w:t>
      </w:r>
    </w:p>
    <w:p>
      <w:pPr>
        <w:ind w:firstLine="643" w:firstLineChars="200"/>
        <w:rPr>
          <w:rFonts w:hint="eastAsia" w:ascii="楷体" w:hAnsi="楷体" w:eastAsia="楷体" w:cs="楷体"/>
          <w:b/>
          <w:sz w:val="32"/>
          <w:szCs w:val="32"/>
        </w:rPr>
      </w:pPr>
      <w:bookmarkStart w:id="111" w:name="_Toc527_WPSOffice_Level2"/>
      <w:bookmarkStart w:id="112" w:name="_Toc6016_WPSOffice_Level2"/>
      <w:bookmarkStart w:id="113" w:name="_Toc29584_WPSOffice_Level2"/>
      <w:bookmarkStart w:id="114" w:name="_Toc15129_WPSOffice_Level2"/>
      <w:bookmarkStart w:id="115" w:name="_Toc10902_WPSOffice_Level2"/>
      <w:bookmarkStart w:id="116" w:name="_Toc19989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截至2020年12月31日，本部门占用房屋面积1071.24平方米，其中：办公用房0平方米，业务用房1071.24平方米，其他（不含构筑物）0平方米。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本部门共有车辆1辆，其中：从车辆种类说明：轿车1辆、越野车0辆、小型载客汽车0辆、大中型载客汽车0辆、其他车型0辆；从车辆使用情况说明：副部（省）级及以上领导用车0辆、主要领导干部用车0辆、机要通信用车0辆、应急保障用车1辆、执法执勤用车0辆、特种专业技术用车0辆、离退休干部用车0辆、其他用车0辆。</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年末在建工程268847.39万元。</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（上述国有资产占用情况相关数字取自2020年度部门决算F01表《预算支出相关信息表》、F03表《机关运行信息表》。）</w:t>
      </w:r>
    </w:p>
    <w:p>
      <w:pPr>
        <w:spacing w:line="578" w:lineRule="exact"/>
        <w:ind w:firstLine="640" w:firstLineChars="200"/>
        <w:rPr>
          <w:rFonts w:hint="eastAsia" w:ascii="仿宋_GB2312" w:hAnsi="ˎ̥" w:eastAsia="仿宋_GB2312"/>
          <w:sz w:val="32"/>
          <w:szCs w:val="32"/>
        </w:rPr>
      </w:pPr>
    </w:p>
    <w:p>
      <w:pPr>
        <w:jc w:val="center"/>
        <w:rPr>
          <w:rFonts w:hint="eastAsia" w:ascii="黑体" w:hAnsi="ˎ̥" w:eastAsia="黑体"/>
          <w:sz w:val="32"/>
          <w:szCs w:val="32"/>
        </w:rPr>
      </w:pPr>
      <w:bookmarkStart w:id="117" w:name="_Toc11039_WPSOffice_Level1"/>
      <w:bookmarkStart w:id="118" w:name="_Toc8808_WPSOffice_Level1"/>
      <w:bookmarkStart w:id="119" w:name="_Toc17580_WPSOffice_Level1"/>
      <w:bookmarkStart w:id="120" w:name="_Toc15425_WPSOffice_Level1"/>
      <w:bookmarkStart w:id="121" w:name="_Toc4398_WPSOffice_Level1"/>
      <w:bookmarkStart w:id="122" w:name="_Toc8874_WPSOffice_Level1"/>
      <w:r>
        <w:rPr>
          <w:rFonts w:hint="eastAsia" w:ascii="黑体" w:hAnsi="ˎ̥" w:eastAsia="黑体"/>
          <w:sz w:val="32"/>
          <w:szCs w:val="32"/>
        </w:rPr>
        <w:t>第四部分  名词解释</w:t>
      </w:r>
      <w:bookmarkEnd w:id="117"/>
      <w:bookmarkEnd w:id="118"/>
      <w:bookmarkEnd w:id="119"/>
      <w:bookmarkEnd w:id="120"/>
      <w:bookmarkEnd w:id="121"/>
      <w:bookmarkEnd w:id="122"/>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十四、（支出功能分类的名词解释，各部门（单位）根据实际支出情况填列，可参阅财政部印发的《2019年政府收支分类科目》）</w:t>
      </w:r>
    </w:p>
    <w:p>
      <w:pPr>
        <w:rPr>
          <w:rFonts w:hint="eastAsia" w:ascii="仿宋_GB2312" w:hAnsi="ˎ̥" w:eastAsia="仿宋_GB2312"/>
          <w:sz w:val="32"/>
          <w:szCs w:val="32"/>
        </w:rPr>
      </w:pPr>
      <w:r>
        <w:rPr>
          <w:rFonts w:hint="eastAsia"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FDDE0"/>
    <w:multiLevelType w:val="singleLevel"/>
    <w:tmpl w:val="DBAFDDE0"/>
    <w:lvl w:ilvl="0" w:tentative="0">
      <w:start w:val="3"/>
      <w:numFmt w:val="chineseCounting"/>
      <w:suff w:val="nothing"/>
      <w:lvlText w:val="（%1）"/>
      <w:lvlJc w:val="left"/>
      <w:rPr>
        <w:rFonts w:hint="eastAsia"/>
      </w:rPr>
    </w:lvl>
  </w:abstractNum>
  <w:abstractNum w:abstractNumId="1">
    <w:nsid w:val="6D1F1387"/>
    <w:multiLevelType w:val="singleLevel"/>
    <w:tmpl w:val="6D1F1387"/>
    <w:lvl w:ilvl="0" w:tentative="0">
      <w:start w:val="1"/>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78"/>
    <w:rsid w:val="00C51A98"/>
    <w:rsid w:val="03DECF86"/>
    <w:rsid w:val="07BC27CF"/>
    <w:rsid w:val="07FFCD20"/>
    <w:rsid w:val="086D5108"/>
    <w:rsid w:val="09573962"/>
    <w:rsid w:val="09793B17"/>
    <w:rsid w:val="09942142"/>
    <w:rsid w:val="09957BC4"/>
    <w:rsid w:val="0B954742"/>
    <w:rsid w:val="0DBF0465"/>
    <w:rsid w:val="0DF065CB"/>
    <w:rsid w:val="0ED7AE15"/>
    <w:rsid w:val="0FBF0C55"/>
    <w:rsid w:val="0FDFFB20"/>
    <w:rsid w:val="0FE07C99"/>
    <w:rsid w:val="14C0309A"/>
    <w:rsid w:val="18FF7389"/>
    <w:rsid w:val="1ABE55EE"/>
    <w:rsid w:val="1AD74DE5"/>
    <w:rsid w:val="1B7BDD9E"/>
    <w:rsid w:val="1BC16115"/>
    <w:rsid w:val="1CE164C1"/>
    <w:rsid w:val="1D5D23CF"/>
    <w:rsid w:val="1DB75C53"/>
    <w:rsid w:val="1E7FE639"/>
    <w:rsid w:val="1EEEBFC1"/>
    <w:rsid w:val="1EF56029"/>
    <w:rsid w:val="1FA7FA60"/>
    <w:rsid w:val="1FCFAD26"/>
    <w:rsid w:val="20780352"/>
    <w:rsid w:val="22AC15DF"/>
    <w:rsid w:val="22DC5DC7"/>
    <w:rsid w:val="235C69FF"/>
    <w:rsid w:val="23670883"/>
    <w:rsid w:val="273D63BB"/>
    <w:rsid w:val="277549C7"/>
    <w:rsid w:val="27FF7C46"/>
    <w:rsid w:val="285A17C2"/>
    <w:rsid w:val="28A450B9"/>
    <w:rsid w:val="29AFAFC7"/>
    <w:rsid w:val="2B1B6DC7"/>
    <w:rsid w:val="2B8E7F0B"/>
    <w:rsid w:val="2B9CE1E3"/>
    <w:rsid w:val="2D54576D"/>
    <w:rsid w:val="2DD7E46F"/>
    <w:rsid w:val="2DDF2B36"/>
    <w:rsid w:val="2DEA31BA"/>
    <w:rsid w:val="2DF72823"/>
    <w:rsid w:val="2DFE88D5"/>
    <w:rsid w:val="2E9B1C81"/>
    <w:rsid w:val="2EC770C8"/>
    <w:rsid w:val="2F74E645"/>
    <w:rsid w:val="2F773455"/>
    <w:rsid w:val="2FBF8EB2"/>
    <w:rsid w:val="2FD3F5B9"/>
    <w:rsid w:val="2FF5AC13"/>
    <w:rsid w:val="2FF7CADA"/>
    <w:rsid w:val="2FFA19B0"/>
    <w:rsid w:val="2FFF26BA"/>
    <w:rsid w:val="3217FA0D"/>
    <w:rsid w:val="32CD43E0"/>
    <w:rsid w:val="333AF022"/>
    <w:rsid w:val="339C35B9"/>
    <w:rsid w:val="33BF88E7"/>
    <w:rsid w:val="33FB5B44"/>
    <w:rsid w:val="350D15D2"/>
    <w:rsid w:val="366D7E41"/>
    <w:rsid w:val="36792DD4"/>
    <w:rsid w:val="36EFEADA"/>
    <w:rsid w:val="36FFF928"/>
    <w:rsid w:val="376FDB7F"/>
    <w:rsid w:val="377F960B"/>
    <w:rsid w:val="37A96661"/>
    <w:rsid w:val="37BFFFA6"/>
    <w:rsid w:val="37E5FC39"/>
    <w:rsid w:val="37F38AFB"/>
    <w:rsid w:val="37FA7B43"/>
    <w:rsid w:val="37FD2AA2"/>
    <w:rsid w:val="37FF26EC"/>
    <w:rsid w:val="390C3FD7"/>
    <w:rsid w:val="394E7713"/>
    <w:rsid w:val="3A999D10"/>
    <w:rsid w:val="3AA97D2D"/>
    <w:rsid w:val="3AC7568D"/>
    <w:rsid w:val="3AE3F5F8"/>
    <w:rsid w:val="3B7755D2"/>
    <w:rsid w:val="3B77D680"/>
    <w:rsid w:val="3BA3D024"/>
    <w:rsid w:val="3BFCCAC9"/>
    <w:rsid w:val="3BFE030B"/>
    <w:rsid w:val="3C7E039A"/>
    <w:rsid w:val="3CF39828"/>
    <w:rsid w:val="3DBFC2A0"/>
    <w:rsid w:val="3DCDB9CA"/>
    <w:rsid w:val="3DD2023B"/>
    <w:rsid w:val="3DF99F13"/>
    <w:rsid w:val="3DFD1E7E"/>
    <w:rsid w:val="3E6FB079"/>
    <w:rsid w:val="3E7F5229"/>
    <w:rsid w:val="3EEF13CA"/>
    <w:rsid w:val="3EF94CDF"/>
    <w:rsid w:val="3EFF3B72"/>
    <w:rsid w:val="3F353C12"/>
    <w:rsid w:val="3F3E12CF"/>
    <w:rsid w:val="3F6AB726"/>
    <w:rsid w:val="3F7D0FF6"/>
    <w:rsid w:val="3F87676B"/>
    <w:rsid w:val="3F8D8AB1"/>
    <w:rsid w:val="3FB88FDF"/>
    <w:rsid w:val="3FBF1B18"/>
    <w:rsid w:val="3FCC5711"/>
    <w:rsid w:val="3FDA7B38"/>
    <w:rsid w:val="3FDF78D7"/>
    <w:rsid w:val="3FE7AE1D"/>
    <w:rsid w:val="3FEBE3C0"/>
    <w:rsid w:val="3FFF12E4"/>
    <w:rsid w:val="3FFF2222"/>
    <w:rsid w:val="41F246D2"/>
    <w:rsid w:val="432E08C0"/>
    <w:rsid w:val="455A275D"/>
    <w:rsid w:val="47BF4431"/>
    <w:rsid w:val="47D61423"/>
    <w:rsid w:val="48973EA7"/>
    <w:rsid w:val="48E7B4DD"/>
    <w:rsid w:val="4977C095"/>
    <w:rsid w:val="49CA27F1"/>
    <w:rsid w:val="49FFCF3E"/>
    <w:rsid w:val="4A7C4FC1"/>
    <w:rsid w:val="4B7B459F"/>
    <w:rsid w:val="4BBFA827"/>
    <w:rsid w:val="4BFFD2EB"/>
    <w:rsid w:val="4CFC2BE9"/>
    <w:rsid w:val="4D2B2994"/>
    <w:rsid w:val="4E62297B"/>
    <w:rsid w:val="4EE5F9AB"/>
    <w:rsid w:val="4EFED4C5"/>
    <w:rsid w:val="4F17B154"/>
    <w:rsid w:val="4F723567"/>
    <w:rsid w:val="4F9ACEA7"/>
    <w:rsid w:val="4FBE6C9E"/>
    <w:rsid w:val="4FDE4D67"/>
    <w:rsid w:val="4FF72AF9"/>
    <w:rsid w:val="4FFA8F3D"/>
    <w:rsid w:val="52906C00"/>
    <w:rsid w:val="52AC1DB3"/>
    <w:rsid w:val="52B77FF2"/>
    <w:rsid w:val="52FD8365"/>
    <w:rsid w:val="53470192"/>
    <w:rsid w:val="53FFD31A"/>
    <w:rsid w:val="55FF49E1"/>
    <w:rsid w:val="56DA1674"/>
    <w:rsid w:val="56FF774C"/>
    <w:rsid w:val="573F6C45"/>
    <w:rsid w:val="576B031C"/>
    <w:rsid w:val="577C6495"/>
    <w:rsid w:val="57910579"/>
    <w:rsid w:val="57CFA933"/>
    <w:rsid w:val="57EB10D2"/>
    <w:rsid w:val="57EE7B63"/>
    <w:rsid w:val="57EF596E"/>
    <w:rsid w:val="57FF0990"/>
    <w:rsid w:val="57FF1D35"/>
    <w:rsid w:val="585B238F"/>
    <w:rsid w:val="597BD195"/>
    <w:rsid w:val="59FFE2F8"/>
    <w:rsid w:val="5A074243"/>
    <w:rsid w:val="5BA13E81"/>
    <w:rsid w:val="5BB15CF0"/>
    <w:rsid w:val="5D5F022B"/>
    <w:rsid w:val="5D751AD1"/>
    <w:rsid w:val="5D77055B"/>
    <w:rsid w:val="5D7FB1E6"/>
    <w:rsid w:val="5DBE8863"/>
    <w:rsid w:val="5DBFFB9F"/>
    <w:rsid w:val="5DCDDFA2"/>
    <w:rsid w:val="5DFB80B5"/>
    <w:rsid w:val="5DFBB0C0"/>
    <w:rsid w:val="5DFE0CBC"/>
    <w:rsid w:val="5DFE342C"/>
    <w:rsid w:val="5DFF0D14"/>
    <w:rsid w:val="5E9426B6"/>
    <w:rsid w:val="5EADE07C"/>
    <w:rsid w:val="5EB62C7B"/>
    <w:rsid w:val="5EB93C23"/>
    <w:rsid w:val="5EF7CFE2"/>
    <w:rsid w:val="5EFE1FC0"/>
    <w:rsid w:val="5F399341"/>
    <w:rsid w:val="5F5B545E"/>
    <w:rsid w:val="5F6FC24C"/>
    <w:rsid w:val="5F79A099"/>
    <w:rsid w:val="5F7C8B6D"/>
    <w:rsid w:val="5F7E2E8C"/>
    <w:rsid w:val="5F9DC0FE"/>
    <w:rsid w:val="5FB90D63"/>
    <w:rsid w:val="5FBBE661"/>
    <w:rsid w:val="5FBD09EC"/>
    <w:rsid w:val="5FBD22F0"/>
    <w:rsid w:val="5FBD3E3C"/>
    <w:rsid w:val="5FD4896D"/>
    <w:rsid w:val="5FDBBFEC"/>
    <w:rsid w:val="5FDFB6AE"/>
    <w:rsid w:val="5FE73208"/>
    <w:rsid w:val="5FEDAB91"/>
    <w:rsid w:val="5FEEA152"/>
    <w:rsid w:val="5FF20BA6"/>
    <w:rsid w:val="5FF98527"/>
    <w:rsid w:val="5FFD2E61"/>
    <w:rsid w:val="5FFFE182"/>
    <w:rsid w:val="60661CB4"/>
    <w:rsid w:val="60C77918"/>
    <w:rsid w:val="615B6DA1"/>
    <w:rsid w:val="61BF59B7"/>
    <w:rsid w:val="637F5749"/>
    <w:rsid w:val="63C11A36"/>
    <w:rsid w:val="63E774DE"/>
    <w:rsid w:val="63EB02DA"/>
    <w:rsid w:val="63FE7D49"/>
    <w:rsid w:val="65FB0EDE"/>
    <w:rsid w:val="660C3071"/>
    <w:rsid w:val="66DC548F"/>
    <w:rsid w:val="66EB31E7"/>
    <w:rsid w:val="66FB754F"/>
    <w:rsid w:val="677B31D9"/>
    <w:rsid w:val="67AE2DDF"/>
    <w:rsid w:val="67DBE88D"/>
    <w:rsid w:val="67DF6BC1"/>
    <w:rsid w:val="67DF9131"/>
    <w:rsid w:val="67EB84DA"/>
    <w:rsid w:val="67FF5B6A"/>
    <w:rsid w:val="67FFED66"/>
    <w:rsid w:val="68FB6111"/>
    <w:rsid w:val="695AEF38"/>
    <w:rsid w:val="69C17975"/>
    <w:rsid w:val="69D1AA57"/>
    <w:rsid w:val="69F8FD77"/>
    <w:rsid w:val="6AF666B0"/>
    <w:rsid w:val="6B65314A"/>
    <w:rsid w:val="6B7A69B0"/>
    <w:rsid w:val="6BBBF3B6"/>
    <w:rsid w:val="6BC921C8"/>
    <w:rsid w:val="6BFD11CC"/>
    <w:rsid w:val="6CEE5A98"/>
    <w:rsid w:val="6CF5CCCB"/>
    <w:rsid w:val="6DF7EF94"/>
    <w:rsid w:val="6DFB416F"/>
    <w:rsid w:val="6EDFD0AF"/>
    <w:rsid w:val="6EEE3759"/>
    <w:rsid w:val="6EF2D48A"/>
    <w:rsid w:val="6EF74BD9"/>
    <w:rsid w:val="6EFD921D"/>
    <w:rsid w:val="6EFF2AF1"/>
    <w:rsid w:val="6EFFFCB3"/>
    <w:rsid w:val="6F0F8A85"/>
    <w:rsid w:val="6F396B8F"/>
    <w:rsid w:val="6F3FFF74"/>
    <w:rsid w:val="6F5FABCE"/>
    <w:rsid w:val="6FAB6B22"/>
    <w:rsid w:val="6FBB56FB"/>
    <w:rsid w:val="6FBE9403"/>
    <w:rsid w:val="6FBF5395"/>
    <w:rsid w:val="6FC9399E"/>
    <w:rsid w:val="6FDE49EE"/>
    <w:rsid w:val="6FDF7C61"/>
    <w:rsid w:val="6FECA5B0"/>
    <w:rsid w:val="6FFA90B0"/>
    <w:rsid w:val="6FFF7888"/>
    <w:rsid w:val="6FFFCB16"/>
    <w:rsid w:val="6FFFEC52"/>
    <w:rsid w:val="703CBA49"/>
    <w:rsid w:val="70784693"/>
    <w:rsid w:val="70C93118"/>
    <w:rsid w:val="70F7E5DA"/>
    <w:rsid w:val="711E3F19"/>
    <w:rsid w:val="714F70AC"/>
    <w:rsid w:val="71DF6BE2"/>
    <w:rsid w:val="72BF2ED6"/>
    <w:rsid w:val="72FF9FF0"/>
    <w:rsid w:val="733F311C"/>
    <w:rsid w:val="7397DDE0"/>
    <w:rsid w:val="73BED0F5"/>
    <w:rsid w:val="73CC666B"/>
    <w:rsid w:val="73D533DD"/>
    <w:rsid w:val="73DDF056"/>
    <w:rsid w:val="73EFCC29"/>
    <w:rsid w:val="73F3D9A0"/>
    <w:rsid w:val="73FD3656"/>
    <w:rsid w:val="73FE3A97"/>
    <w:rsid w:val="741673A5"/>
    <w:rsid w:val="74396D26"/>
    <w:rsid w:val="743D5A45"/>
    <w:rsid w:val="756F22B3"/>
    <w:rsid w:val="757D30B0"/>
    <w:rsid w:val="757F7604"/>
    <w:rsid w:val="75A51D92"/>
    <w:rsid w:val="75C12401"/>
    <w:rsid w:val="761E22E7"/>
    <w:rsid w:val="76275AAA"/>
    <w:rsid w:val="762DB1B7"/>
    <w:rsid w:val="767FC433"/>
    <w:rsid w:val="768A5887"/>
    <w:rsid w:val="76B98217"/>
    <w:rsid w:val="76D30AA7"/>
    <w:rsid w:val="76EF585D"/>
    <w:rsid w:val="76F7BEEA"/>
    <w:rsid w:val="76FF9777"/>
    <w:rsid w:val="770712AD"/>
    <w:rsid w:val="77237370"/>
    <w:rsid w:val="777394AB"/>
    <w:rsid w:val="777ECE2E"/>
    <w:rsid w:val="77A73563"/>
    <w:rsid w:val="77CF7392"/>
    <w:rsid w:val="77D720D1"/>
    <w:rsid w:val="77F510D1"/>
    <w:rsid w:val="77F64C28"/>
    <w:rsid w:val="77F7B980"/>
    <w:rsid w:val="77FA0A95"/>
    <w:rsid w:val="77FD486D"/>
    <w:rsid w:val="77FE9568"/>
    <w:rsid w:val="77FEE0B4"/>
    <w:rsid w:val="78BB48A3"/>
    <w:rsid w:val="78BFECCC"/>
    <w:rsid w:val="79003D12"/>
    <w:rsid w:val="7912DBDA"/>
    <w:rsid w:val="794FA6D7"/>
    <w:rsid w:val="795FD007"/>
    <w:rsid w:val="7972D9FD"/>
    <w:rsid w:val="79A5F571"/>
    <w:rsid w:val="79AF6DAE"/>
    <w:rsid w:val="79BD642D"/>
    <w:rsid w:val="79F73C40"/>
    <w:rsid w:val="7A7957AF"/>
    <w:rsid w:val="7A7F95FB"/>
    <w:rsid w:val="7AAE915C"/>
    <w:rsid w:val="7B6F6646"/>
    <w:rsid w:val="7B7D60DE"/>
    <w:rsid w:val="7B7F3392"/>
    <w:rsid w:val="7BB335E5"/>
    <w:rsid w:val="7BB90B8B"/>
    <w:rsid w:val="7BBD6F41"/>
    <w:rsid w:val="7BCB47DE"/>
    <w:rsid w:val="7BD44AB5"/>
    <w:rsid w:val="7BD743DF"/>
    <w:rsid w:val="7BD83839"/>
    <w:rsid w:val="7BE75ADC"/>
    <w:rsid w:val="7BED636E"/>
    <w:rsid w:val="7BFF1785"/>
    <w:rsid w:val="7BFF70FC"/>
    <w:rsid w:val="7BFFACBC"/>
    <w:rsid w:val="7C75699B"/>
    <w:rsid w:val="7C770257"/>
    <w:rsid w:val="7C8BCD45"/>
    <w:rsid w:val="7CAFDAFB"/>
    <w:rsid w:val="7CDF05C8"/>
    <w:rsid w:val="7CFF1BA7"/>
    <w:rsid w:val="7D11DF30"/>
    <w:rsid w:val="7D3B9101"/>
    <w:rsid w:val="7D571BD1"/>
    <w:rsid w:val="7D59A7B1"/>
    <w:rsid w:val="7D5BACD8"/>
    <w:rsid w:val="7D6B84F3"/>
    <w:rsid w:val="7D6BD8E3"/>
    <w:rsid w:val="7D9520FE"/>
    <w:rsid w:val="7D96A0D3"/>
    <w:rsid w:val="7DB753AF"/>
    <w:rsid w:val="7DBE758B"/>
    <w:rsid w:val="7DBF2F48"/>
    <w:rsid w:val="7DC5D37A"/>
    <w:rsid w:val="7DCFE909"/>
    <w:rsid w:val="7DE55D74"/>
    <w:rsid w:val="7DE7B3F6"/>
    <w:rsid w:val="7DEE2A01"/>
    <w:rsid w:val="7DEECB34"/>
    <w:rsid w:val="7DF71090"/>
    <w:rsid w:val="7DF9BD96"/>
    <w:rsid w:val="7DFB0EE6"/>
    <w:rsid w:val="7DFB68A9"/>
    <w:rsid w:val="7DFFC4E4"/>
    <w:rsid w:val="7E0710AB"/>
    <w:rsid w:val="7E3F7CFA"/>
    <w:rsid w:val="7E61ED06"/>
    <w:rsid w:val="7E66E0A1"/>
    <w:rsid w:val="7E7A3C5E"/>
    <w:rsid w:val="7E7F0FD6"/>
    <w:rsid w:val="7E7F6979"/>
    <w:rsid w:val="7E7F7316"/>
    <w:rsid w:val="7E7F7F16"/>
    <w:rsid w:val="7E9E89B9"/>
    <w:rsid w:val="7E9FCA80"/>
    <w:rsid w:val="7EA527F7"/>
    <w:rsid w:val="7EB7A9D5"/>
    <w:rsid w:val="7EBBD139"/>
    <w:rsid w:val="7EBD1F21"/>
    <w:rsid w:val="7EDB447F"/>
    <w:rsid w:val="7EE2E126"/>
    <w:rsid w:val="7EE78373"/>
    <w:rsid w:val="7EEB848A"/>
    <w:rsid w:val="7EF585F7"/>
    <w:rsid w:val="7EFB2B1A"/>
    <w:rsid w:val="7EFF9D0A"/>
    <w:rsid w:val="7EFFE0BF"/>
    <w:rsid w:val="7F0FF1BD"/>
    <w:rsid w:val="7F39A39A"/>
    <w:rsid w:val="7F3FCFD5"/>
    <w:rsid w:val="7F4FD4FE"/>
    <w:rsid w:val="7F5BFFE8"/>
    <w:rsid w:val="7F6ECEAA"/>
    <w:rsid w:val="7F737E3E"/>
    <w:rsid w:val="7F75327E"/>
    <w:rsid w:val="7F7E3E3A"/>
    <w:rsid w:val="7F7E51C5"/>
    <w:rsid w:val="7F7F4012"/>
    <w:rsid w:val="7F7F547A"/>
    <w:rsid w:val="7FA7577A"/>
    <w:rsid w:val="7FAA600D"/>
    <w:rsid w:val="7FAD2AD6"/>
    <w:rsid w:val="7FBC713F"/>
    <w:rsid w:val="7FBC764A"/>
    <w:rsid w:val="7FBD79AD"/>
    <w:rsid w:val="7FBF27C1"/>
    <w:rsid w:val="7FD726AF"/>
    <w:rsid w:val="7FE91172"/>
    <w:rsid w:val="7FEF3C6E"/>
    <w:rsid w:val="7FEF57DC"/>
    <w:rsid w:val="7FF70E75"/>
    <w:rsid w:val="7FF74485"/>
    <w:rsid w:val="7FF77F60"/>
    <w:rsid w:val="7FF7F37F"/>
    <w:rsid w:val="7FF87371"/>
    <w:rsid w:val="7FFB564B"/>
    <w:rsid w:val="7FFB6077"/>
    <w:rsid w:val="7FFB7DCF"/>
    <w:rsid w:val="7FFB88B0"/>
    <w:rsid w:val="7FFCEDA8"/>
    <w:rsid w:val="7FFD325C"/>
    <w:rsid w:val="7FFE850A"/>
    <w:rsid w:val="7FFE8DB1"/>
    <w:rsid w:val="7FFF510E"/>
    <w:rsid w:val="7FFF609C"/>
    <w:rsid w:val="7FFF8772"/>
    <w:rsid w:val="7FFF8E4C"/>
    <w:rsid w:val="83F1A64B"/>
    <w:rsid w:val="87FD46B0"/>
    <w:rsid w:val="89DDE5CF"/>
    <w:rsid w:val="8AFB4D1D"/>
    <w:rsid w:val="8CF533F2"/>
    <w:rsid w:val="8DFAFFFC"/>
    <w:rsid w:val="8E671DB4"/>
    <w:rsid w:val="8EDF56C0"/>
    <w:rsid w:val="8EFED38B"/>
    <w:rsid w:val="8FEB8267"/>
    <w:rsid w:val="8FEF079F"/>
    <w:rsid w:val="92FF6BAE"/>
    <w:rsid w:val="93DFECD0"/>
    <w:rsid w:val="93F75883"/>
    <w:rsid w:val="953D14D3"/>
    <w:rsid w:val="973FDBF6"/>
    <w:rsid w:val="97B34396"/>
    <w:rsid w:val="97FD1794"/>
    <w:rsid w:val="99ABBF92"/>
    <w:rsid w:val="9BD71D3F"/>
    <w:rsid w:val="9BEF8A5D"/>
    <w:rsid w:val="9BF915F8"/>
    <w:rsid w:val="9D3BEB45"/>
    <w:rsid w:val="9D7FFAD4"/>
    <w:rsid w:val="9DFFE40F"/>
    <w:rsid w:val="9EAD2F6D"/>
    <w:rsid w:val="9FBD89D0"/>
    <w:rsid w:val="9FBFF517"/>
    <w:rsid w:val="9FCED633"/>
    <w:rsid w:val="A1DDB896"/>
    <w:rsid w:val="A3BFF2B7"/>
    <w:rsid w:val="A7A8DB8F"/>
    <w:rsid w:val="A7B536D7"/>
    <w:rsid w:val="A8FF0965"/>
    <w:rsid w:val="AADFE677"/>
    <w:rsid w:val="AAFF9F14"/>
    <w:rsid w:val="ABDC04DE"/>
    <w:rsid w:val="AC3D5635"/>
    <w:rsid w:val="ACF62BEB"/>
    <w:rsid w:val="AD3F9EF2"/>
    <w:rsid w:val="AEDB4D17"/>
    <w:rsid w:val="AF4E27F7"/>
    <w:rsid w:val="AF6F9689"/>
    <w:rsid w:val="AFEDEF19"/>
    <w:rsid w:val="AFEEA77D"/>
    <w:rsid w:val="B1FDA5A9"/>
    <w:rsid w:val="B3FB44F6"/>
    <w:rsid w:val="B55AF074"/>
    <w:rsid w:val="B566E8DC"/>
    <w:rsid w:val="B5B7BB56"/>
    <w:rsid w:val="B5E9F5D8"/>
    <w:rsid w:val="B5F3DBB7"/>
    <w:rsid w:val="B5FFD949"/>
    <w:rsid w:val="B6FA4669"/>
    <w:rsid w:val="B6FD0BBE"/>
    <w:rsid w:val="B76D5D0B"/>
    <w:rsid w:val="B7D7A19C"/>
    <w:rsid w:val="B7DFED18"/>
    <w:rsid w:val="B7EC07F9"/>
    <w:rsid w:val="B7EE2981"/>
    <w:rsid w:val="B7FBA2B4"/>
    <w:rsid w:val="B7FF12F7"/>
    <w:rsid w:val="B7FF7321"/>
    <w:rsid w:val="B8DD226A"/>
    <w:rsid w:val="B9726DBF"/>
    <w:rsid w:val="BBB7DBC0"/>
    <w:rsid w:val="BBBF8092"/>
    <w:rsid w:val="BBCFA2BF"/>
    <w:rsid w:val="BBE11375"/>
    <w:rsid w:val="BBF7814F"/>
    <w:rsid w:val="BBFF0995"/>
    <w:rsid w:val="BD5F8A21"/>
    <w:rsid w:val="BDED59AA"/>
    <w:rsid w:val="BE5BF225"/>
    <w:rsid w:val="BEAA10E6"/>
    <w:rsid w:val="BEFB4981"/>
    <w:rsid w:val="BEFFC0CB"/>
    <w:rsid w:val="BF325721"/>
    <w:rsid w:val="BF54B626"/>
    <w:rsid w:val="BF7C9284"/>
    <w:rsid w:val="BF7FEFD8"/>
    <w:rsid w:val="BFAF7291"/>
    <w:rsid w:val="BFBB3279"/>
    <w:rsid w:val="BFBBA06C"/>
    <w:rsid w:val="BFBFB566"/>
    <w:rsid w:val="BFCF5C6C"/>
    <w:rsid w:val="BFDFC266"/>
    <w:rsid w:val="BFE66C01"/>
    <w:rsid w:val="BFEADC70"/>
    <w:rsid w:val="BFEB8C89"/>
    <w:rsid w:val="BFEFAE4D"/>
    <w:rsid w:val="BFF3DFC1"/>
    <w:rsid w:val="BFF72894"/>
    <w:rsid w:val="BFFB5100"/>
    <w:rsid w:val="C36F1E30"/>
    <w:rsid w:val="C3EF6AD6"/>
    <w:rsid w:val="C5D32E6E"/>
    <w:rsid w:val="C5D47A4E"/>
    <w:rsid w:val="C7ED6A4A"/>
    <w:rsid w:val="C7F96D42"/>
    <w:rsid w:val="C9F51D76"/>
    <w:rsid w:val="CB7F33A7"/>
    <w:rsid w:val="CBE59E6A"/>
    <w:rsid w:val="CC1E98F9"/>
    <w:rsid w:val="CD7B1E15"/>
    <w:rsid w:val="CDF75C70"/>
    <w:rsid w:val="CE3FF5AD"/>
    <w:rsid w:val="CFB7A82E"/>
    <w:rsid w:val="CFF71D54"/>
    <w:rsid w:val="D07B808B"/>
    <w:rsid w:val="D2E2347E"/>
    <w:rsid w:val="D36F16AA"/>
    <w:rsid w:val="D3AD824D"/>
    <w:rsid w:val="D3EAB025"/>
    <w:rsid w:val="D4DFC7C1"/>
    <w:rsid w:val="D5672915"/>
    <w:rsid w:val="D6737AFF"/>
    <w:rsid w:val="D6FD1D9B"/>
    <w:rsid w:val="D77F23C5"/>
    <w:rsid w:val="D77FE600"/>
    <w:rsid w:val="D78995A2"/>
    <w:rsid w:val="D7AF29EB"/>
    <w:rsid w:val="D7DF505A"/>
    <w:rsid w:val="D7FDB9CF"/>
    <w:rsid w:val="D9FBE716"/>
    <w:rsid w:val="DA57730F"/>
    <w:rsid w:val="DA7F3A18"/>
    <w:rsid w:val="DA7F6C65"/>
    <w:rsid w:val="DB7EDFE5"/>
    <w:rsid w:val="DBB5E30B"/>
    <w:rsid w:val="DBF7C1AB"/>
    <w:rsid w:val="DBFFEE12"/>
    <w:rsid w:val="DC7DE595"/>
    <w:rsid w:val="DCFC1B9F"/>
    <w:rsid w:val="DCFDC4E1"/>
    <w:rsid w:val="DD7B8C96"/>
    <w:rsid w:val="DD7CC605"/>
    <w:rsid w:val="DDB61699"/>
    <w:rsid w:val="DE5A6F3F"/>
    <w:rsid w:val="DE9E2125"/>
    <w:rsid w:val="DEBFFCE6"/>
    <w:rsid w:val="DECAF7EE"/>
    <w:rsid w:val="DECF28C1"/>
    <w:rsid w:val="DEFEBA56"/>
    <w:rsid w:val="DEFFB0BC"/>
    <w:rsid w:val="DF6F8093"/>
    <w:rsid w:val="DF7C2E76"/>
    <w:rsid w:val="DF7F072D"/>
    <w:rsid w:val="DF8F5223"/>
    <w:rsid w:val="DF930E32"/>
    <w:rsid w:val="DFD16FC9"/>
    <w:rsid w:val="DFD73CBC"/>
    <w:rsid w:val="DFDBD50F"/>
    <w:rsid w:val="DFEBF0E5"/>
    <w:rsid w:val="DFEECE18"/>
    <w:rsid w:val="DFEEDF85"/>
    <w:rsid w:val="DFF7D292"/>
    <w:rsid w:val="E17EC834"/>
    <w:rsid w:val="E1BF0439"/>
    <w:rsid w:val="E5DBD44C"/>
    <w:rsid w:val="E5FB771C"/>
    <w:rsid w:val="E6BB2083"/>
    <w:rsid w:val="E6BDF3F0"/>
    <w:rsid w:val="E6ED368F"/>
    <w:rsid w:val="E6F7F61A"/>
    <w:rsid w:val="E71FBC55"/>
    <w:rsid w:val="E7BF77EF"/>
    <w:rsid w:val="E7D732CE"/>
    <w:rsid w:val="E891D0F1"/>
    <w:rsid w:val="EA7F4C53"/>
    <w:rsid w:val="EB3F1F5B"/>
    <w:rsid w:val="EBF745B4"/>
    <w:rsid w:val="EBFEF45D"/>
    <w:rsid w:val="EC36A657"/>
    <w:rsid w:val="ECE78C31"/>
    <w:rsid w:val="EDAF1B56"/>
    <w:rsid w:val="EDDF57E9"/>
    <w:rsid w:val="EDF73E0C"/>
    <w:rsid w:val="EDFF28AC"/>
    <w:rsid w:val="EDFF9075"/>
    <w:rsid w:val="EEDF8028"/>
    <w:rsid w:val="EEFE161D"/>
    <w:rsid w:val="EF3E68C0"/>
    <w:rsid w:val="EF6E39AF"/>
    <w:rsid w:val="EF79E6CB"/>
    <w:rsid w:val="EF7F80AD"/>
    <w:rsid w:val="EF7FE583"/>
    <w:rsid w:val="EF97C0CD"/>
    <w:rsid w:val="EFAFB018"/>
    <w:rsid w:val="EFCEA642"/>
    <w:rsid w:val="EFCEEB42"/>
    <w:rsid w:val="EFCF8DE1"/>
    <w:rsid w:val="EFD35E0A"/>
    <w:rsid w:val="EFF40830"/>
    <w:rsid w:val="EFF7ED13"/>
    <w:rsid w:val="EFFB57CF"/>
    <w:rsid w:val="EFFBAB83"/>
    <w:rsid w:val="EFFFF421"/>
    <w:rsid w:val="F0A51A59"/>
    <w:rsid w:val="F1BE6CD0"/>
    <w:rsid w:val="F2F909E3"/>
    <w:rsid w:val="F2FE56AF"/>
    <w:rsid w:val="F35F6A1E"/>
    <w:rsid w:val="F3FF2264"/>
    <w:rsid w:val="F4F712A5"/>
    <w:rsid w:val="F57F0450"/>
    <w:rsid w:val="F57F6FFC"/>
    <w:rsid w:val="F5C35626"/>
    <w:rsid w:val="F5CA5EF1"/>
    <w:rsid w:val="F5E736A7"/>
    <w:rsid w:val="F5F702AF"/>
    <w:rsid w:val="F5FD5E39"/>
    <w:rsid w:val="F666BF78"/>
    <w:rsid w:val="F67C0471"/>
    <w:rsid w:val="F6AAA0A3"/>
    <w:rsid w:val="F6B8E4A7"/>
    <w:rsid w:val="F6D8921B"/>
    <w:rsid w:val="F75D1336"/>
    <w:rsid w:val="F76F4F61"/>
    <w:rsid w:val="F76F687A"/>
    <w:rsid w:val="F771E86D"/>
    <w:rsid w:val="F7791D76"/>
    <w:rsid w:val="F795383D"/>
    <w:rsid w:val="F79CCB71"/>
    <w:rsid w:val="F7ABC023"/>
    <w:rsid w:val="F7BFF44B"/>
    <w:rsid w:val="F7DFAF3F"/>
    <w:rsid w:val="F7E3FEE0"/>
    <w:rsid w:val="F7E7F4D6"/>
    <w:rsid w:val="F7FF1E6A"/>
    <w:rsid w:val="F7FF4F5F"/>
    <w:rsid w:val="F7FFBBFF"/>
    <w:rsid w:val="F8F79D6F"/>
    <w:rsid w:val="F8FFAAAA"/>
    <w:rsid w:val="F93F86EC"/>
    <w:rsid w:val="F9726DF6"/>
    <w:rsid w:val="F9779A70"/>
    <w:rsid w:val="F97D3F44"/>
    <w:rsid w:val="F99E62DD"/>
    <w:rsid w:val="F9B57C0F"/>
    <w:rsid w:val="F9BD1D5B"/>
    <w:rsid w:val="F9EB43BB"/>
    <w:rsid w:val="F9FDF724"/>
    <w:rsid w:val="F9FF2A47"/>
    <w:rsid w:val="FA312ECE"/>
    <w:rsid w:val="FA6D2FF7"/>
    <w:rsid w:val="FAA7B45C"/>
    <w:rsid w:val="FAB4F2F7"/>
    <w:rsid w:val="FAF68C43"/>
    <w:rsid w:val="FAFB9852"/>
    <w:rsid w:val="FAFD45B2"/>
    <w:rsid w:val="FB474C5E"/>
    <w:rsid w:val="FB734151"/>
    <w:rsid w:val="FB77251B"/>
    <w:rsid w:val="FBA70E53"/>
    <w:rsid w:val="FBAD0C7A"/>
    <w:rsid w:val="FBB730BA"/>
    <w:rsid w:val="FBBBF7F6"/>
    <w:rsid w:val="FBEE93A7"/>
    <w:rsid w:val="FBF1A06E"/>
    <w:rsid w:val="FBFF13FA"/>
    <w:rsid w:val="FBFF4F11"/>
    <w:rsid w:val="FC6EA03F"/>
    <w:rsid w:val="FC7C8F89"/>
    <w:rsid w:val="FCDDDB6B"/>
    <w:rsid w:val="FCEED6B9"/>
    <w:rsid w:val="FCEF9DFB"/>
    <w:rsid w:val="FCF6931D"/>
    <w:rsid w:val="FCFE4CD4"/>
    <w:rsid w:val="FD5FF19A"/>
    <w:rsid w:val="FD7EB48D"/>
    <w:rsid w:val="FDE50C06"/>
    <w:rsid w:val="FDECB06A"/>
    <w:rsid w:val="FDED9D33"/>
    <w:rsid w:val="FDEDB6B5"/>
    <w:rsid w:val="FDF7A804"/>
    <w:rsid w:val="FDFF2A32"/>
    <w:rsid w:val="FDFF4C2A"/>
    <w:rsid w:val="FDFF9979"/>
    <w:rsid w:val="FE3F2B0F"/>
    <w:rsid w:val="FE5BC53E"/>
    <w:rsid w:val="FE7BAC17"/>
    <w:rsid w:val="FE7C64CA"/>
    <w:rsid w:val="FE9E9852"/>
    <w:rsid w:val="FEB961B8"/>
    <w:rsid w:val="FECA16EE"/>
    <w:rsid w:val="FECB61E5"/>
    <w:rsid w:val="FEDFBDCA"/>
    <w:rsid w:val="FEDFC54E"/>
    <w:rsid w:val="FEEF65FF"/>
    <w:rsid w:val="FEF3FCC1"/>
    <w:rsid w:val="FEFB8142"/>
    <w:rsid w:val="FEFC2472"/>
    <w:rsid w:val="FEFFD513"/>
    <w:rsid w:val="FF0735CC"/>
    <w:rsid w:val="FF373D08"/>
    <w:rsid w:val="FF3F469E"/>
    <w:rsid w:val="FF55FEF0"/>
    <w:rsid w:val="FF5CDD98"/>
    <w:rsid w:val="FF67005E"/>
    <w:rsid w:val="FF67E686"/>
    <w:rsid w:val="FF6F5A12"/>
    <w:rsid w:val="FF7BBEEA"/>
    <w:rsid w:val="FF7D13CB"/>
    <w:rsid w:val="FF7EEFD6"/>
    <w:rsid w:val="FF7F0155"/>
    <w:rsid w:val="FF878EBC"/>
    <w:rsid w:val="FF9D8141"/>
    <w:rsid w:val="FF9EBAA9"/>
    <w:rsid w:val="FF9F1DCF"/>
    <w:rsid w:val="FFADCB21"/>
    <w:rsid w:val="FFAF5AFE"/>
    <w:rsid w:val="FFBE53C6"/>
    <w:rsid w:val="FFBEFC74"/>
    <w:rsid w:val="FFBF92D7"/>
    <w:rsid w:val="FFC52AA1"/>
    <w:rsid w:val="FFCF4B4C"/>
    <w:rsid w:val="FFD7C31F"/>
    <w:rsid w:val="FFEE44D4"/>
    <w:rsid w:val="FFEE5F37"/>
    <w:rsid w:val="FFEF1437"/>
    <w:rsid w:val="FFF4966B"/>
    <w:rsid w:val="FFF755F1"/>
    <w:rsid w:val="FFF76E51"/>
    <w:rsid w:val="FFF85252"/>
    <w:rsid w:val="FFFA9D99"/>
    <w:rsid w:val="FFFC4011"/>
    <w:rsid w:val="FFFCAF6B"/>
    <w:rsid w:val="FFFD02C2"/>
    <w:rsid w:val="FFFD44B5"/>
    <w:rsid w:val="FFFDB7B7"/>
    <w:rsid w:val="FFFF0396"/>
    <w:rsid w:val="FFFF3FC7"/>
    <w:rsid w:val="FFFF4765"/>
    <w:rsid w:val="FFFF9DF7"/>
    <w:rsid w:val="FFFFAF78"/>
    <w:rsid w:val="FFFFCD6F"/>
    <w:rsid w:val="FFFFE1C9"/>
    <w:rsid w:val="FFFFE611"/>
    <w:rsid w:val="FFFFF3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link w:val="6"/>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正文1 Char Char Char"/>
    <w:basedOn w:val="1"/>
    <w:link w:val="5"/>
    <w:uiPriority w:val="0"/>
    <w:pPr>
      <w:spacing w:line="360" w:lineRule="auto"/>
      <w:ind w:firstLine="200" w:firstLineChars="200"/>
    </w:pPr>
  </w:style>
  <w:style w:type="character" w:styleId="7">
    <w:name w:val="page number"/>
    <w:uiPriority w:val="0"/>
  </w:style>
  <w:style w:type="character" w:styleId="8">
    <w:name w:val="FollowedHyperlink"/>
    <w:unhideWhenUsed/>
    <w:uiPriority w:val="99"/>
    <w:rPr>
      <w:color w:val="800080"/>
      <w:u w:val="single"/>
    </w:rPr>
  </w:style>
  <w:style w:type="paragraph" w:customStyle="1" w:styleId="9">
    <w:name w:val="WPSOffice手动目录 1"/>
    <w:uiPriority w:val="0"/>
    <w:rPr>
      <w:lang w:val="en-US" w:eastAsia="zh-CN" w:bidi="ar-SA"/>
    </w:rPr>
  </w:style>
  <w:style w:type="paragraph" w:customStyle="1" w:styleId="10">
    <w:name w:val="WPSOffice手动目录 2"/>
    <w:uiPriority w:val="0"/>
    <w:pPr>
      <w:ind w:leftChars="200"/>
    </w:pPr>
    <w:rPr>
      <w:lang w:val="en-US" w:eastAsia="zh-CN" w:bidi="ar-SA"/>
    </w:rPr>
  </w:style>
  <w:style w:type="paragraph" w:customStyle="1" w:styleId="11">
    <w:name w:val="p0"/>
    <w:basedOn w:val="1"/>
    <w:uiPriority w:val="0"/>
    <w:pPr>
      <w:widowControl/>
    </w:pPr>
    <w:rPr>
      <w:rFonts w:hAnsi="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www.ftpdown.com</Company>
  <Pages>25</Pages>
  <Words>10748</Words>
  <Characters>12018</Characters>
  <Lines>94</Lines>
  <Paragraphs>26</Paragraphs>
  <TotalTime>2.33333333333333</TotalTime>
  <ScaleCrop>false</ScaleCrop>
  <LinksUpToDate>false</LinksUpToDate>
  <CharactersWithSpaces>12151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2022-09-04T17:44:00Z</dcterms:created>
  <dc:creator>陈斌</dc:creator>
  <cp:lastModifiedBy>572226278</cp:lastModifiedBy>
  <cp:lastPrinted>2016-08-08T07:05:00Z</cp:lastPrinted>
  <dcterms:modified xsi:type="dcterms:W3CDTF">2022-09-04T12:12:24Z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1E40ED4DEE754290AF4613B660A7AEB8</vt:lpwstr>
  </property>
</Properties>
</file>